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60490" w14:textId="77777777" w:rsidR="0063023F" w:rsidRDefault="0063023F"/>
    <w:p w14:paraId="50C9DF14" w14:textId="77777777" w:rsidR="0063023F" w:rsidRPr="003105B0" w:rsidRDefault="0063023F" w:rsidP="0063023F">
      <w:pPr>
        <w:spacing w:after="0"/>
        <w:jc w:val="both"/>
        <w:rPr>
          <w:rFonts w:cs="Calibri"/>
          <w:bCs/>
        </w:rPr>
      </w:pPr>
    </w:p>
    <w:p w14:paraId="6B7FE924" w14:textId="77777777" w:rsidR="0063023F" w:rsidRPr="003105B0" w:rsidRDefault="0063023F" w:rsidP="0063023F">
      <w:pPr>
        <w:spacing w:after="0"/>
        <w:jc w:val="both"/>
        <w:rPr>
          <w:rFonts w:cs="Calibri"/>
          <w:bCs/>
        </w:rPr>
      </w:pPr>
    </w:p>
    <w:p w14:paraId="251FF2FB" w14:textId="77777777" w:rsidR="0063023F" w:rsidRPr="003105B0" w:rsidRDefault="0063023F" w:rsidP="0063023F">
      <w:pPr>
        <w:spacing w:after="0"/>
        <w:jc w:val="both"/>
        <w:rPr>
          <w:rFonts w:cs="Calibri"/>
          <w:bCs/>
        </w:rPr>
      </w:pPr>
    </w:p>
    <w:p w14:paraId="55B9460C" w14:textId="77777777" w:rsidR="0063023F" w:rsidRPr="003105B0" w:rsidRDefault="0063023F" w:rsidP="0063023F">
      <w:pPr>
        <w:spacing w:after="0"/>
        <w:jc w:val="both"/>
        <w:rPr>
          <w:rFonts w:cs="Calibri"/>
          <w:bCs/>
        </w:rPr>
      </w:pPr>
    </w:p>
    <w:p w14:paraId="3FC12369" w14:textId="77777777" w:rsidR="0063023F" w:rsidRPr="003105B0" w:rsidRDefault="0063023F" w:rsidP="0063023F">
      <w:pPr>
        <w:spacing w:after="0"/>
        <w:jc w:val="both"/>
        <w:rPr>
          <w:rFonts w:cs="Calibri"/>
          <w:bCs/>
        </w:rPr>
      </w:pPr>
    </w:p>
    <w:p w14:paraId="6F783FF2" w14:textId="77777777" w:rsidR="0063023F" w:rsidRPr="003105B0" w:rsidRDefault="0063023F" w:rsidP="0063023F">
      <w:pPr>
        <w:spacing w:after="0"/>
        <w:jc w:val="both"/>
        <w:rPr>
          <w:rFonts w:cs="Calibri"/>
          <w:bCs/>
        </w:rPr>
      </w:pPr>
    </w:p>
    <w:p w14:paraId="733A07B8" w14:textId="77777777" w:rsidR="0063023F" w:rsidRPr="003105B0" w:rsidRDefault="0063023F" w:rsidP="0063023F">
      <w:pPr>
        <w:spacing w:after="0"/>
        <w:jc w:val="both"/>
        <w:rPr>
          <w:rFonts w:cs="Calibri"/>
          <w:bCs/>
        </w:rPr>
      </w:pPr>
    </w:p>
    <w:p w14:paraId="144711C3" w14:textId="77777777" w:rsidR="0063023F" w:rsidRPr="003105B0" w:rsidRDefault="0063023F" w:rsidP="0063023F">
      <w:pPr>
        <w:spacing w:after="0"/>
        <w:jc w:val="both"/>
        <w:rPr>
          <w:rFonts w:cs="Calibri"/>
          <w:bCs/>
        </w:rPr>
      </w:pPr>
    </w:p>
    <w:p w14:paraId="05811952" w14:textId="77777777" w:rsidR="0063023F" w:rsidRPr="003105B0" w:rsidRDefault="0063023F" w:rsidP="0063023F">
      <w:pPr>
        <w:spacing w:after="0"/>
        <w:jc w:val="both"/>
        <w:rPr>
          <w:rFonts w:cs="Calibri"/>
          <w:bCs/>
        </w:rPr>
      </w:pPr>
    </w:p>
    <w:p w14:paraId="44B50A19" w14:textId="77777777" w:rsidR="0063023F" w:rsidRPr="003105B0" w:rsidRDefault="0063023F" w:rsidP="0063023F">
      <w:pPr>
        <w:spacing w:after="0"/>
        <w:jc w:val="both"/>
        <w:rPr>
          <w:rFonts w:cs="Calibri"/>
          <w:bCs/>
        </w:rPr>
      </w:pPr>
    </w:p>
    <w:p w14:paraId="70513A78" w14:textId="77777777" w:rsidR="0063023F" w:rsidRPr="003105B0" w:rsidRDefault="0063023F" w:rsidP="0063023F">
      <w:pPr>
        <w:spacing w:after="0"/>
        <w:jc w:val="both"/>
        <w:rPr>
          <w:rFonts w:cs="Calibri"/>
          <w:bCs/>
        </w:rPr>
      </w:pPr>
    </w:p>
    <w:p w14:paraId="773D022E" w14:textId="77777777" w:rsidR="0063023F" w:rsidRPr="003105B0" w:rsidRDefault="0063023F" w:rsidP="0063023F">
      <w:pPr>
        <w:spacing w:after="0"/>
        <w:jc w:val="both"/>
        <w:rPr>
          <w:rFonts w:cs="Calibri"/>
          <w:bCs/>
        </w:rPr>
      </w:pPr>
    </w:p>
    <w:p w14:paraId="7A8990D3" w14:textId="77777777" w:rsidR="0063023F" w:rsidRPr="003105B0" w:rsidRDefault="0063023F" w:rsidP="0063023F">
      <w:pPr>
        <w:spacing w:after="0"/>
        <w:jc w:val="both"/>
        <w:rPr>
          <w:rFonts w:cs="Calibri"/>
          <w:bCs/>
        </w:rPr>
      </w:pPr>
    </w:p>
    <w:p w14:paraId="0A85E112" w14:textId="77777777" w:rsidR="0063023F" w:rsidRPr="003105B0" w:rsidRDefault="0063023F" w:rsidP="0063023F">
      <w:pPr>
        <w:spacing w:after="0"/>
        <w:jc w:val="both"/>
        <w:rPr>
          <w:rFonts w:cs="Calibri"/>
          <w:bCs/>
        </w:rPr>
      </w:pPr>
    </w:p>
    <w:p w14:paraId="4D18311A" w14:textId="77777777"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14:paraId="342089D0" w14:textId="77777777"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14:paraId="5F53C275" w14:textId="77777777" w:rsidR="0063023F" w:rsidRPr="003105B0" w:rsidRDefault="0063023F" w:rsidP="0063023F">
      <w:pPr>
        <w:spacing w:after="0"/>
        <w:jc w:val="center"/>
        <w:rPr>
          <w:rFonts w:cs="Calibri"/>
          <w:bCs/>
          <w:sz w:val="48"/>
          <w:szCs w:val="48"/>
        </w:rPr>
      </w:pPr>
    </w:p>
    <w:p w14:paraId="2B57F0CD" w14:textId="33C701D2" w:rsidR="00BC79B6" w:rsidRDefault="00EE2956" w:rsidP="00BC79B6">
      <w:pPr>
        <w:spacing w:after="0"/>
        <w:jc w:val="center"/>
        <w:rPr>
          <w:rFonts w:cs="Calibri"/>
          <w:bCs/>
          <w:sz w:val="48"/>
          <w:szCs w:val="48"/>
        </w:rPr>
      </w:pPr>
      <w:r>
        <w:rPr>
          <w:rFonts w:cs="Calibri"/>
          <w:bCs/>
          <w:sz w:val="48"/>
          <w:szCs w:val="48"/>
        </w:rPr>
        <w:t>Posadzki</w:t>
      </w:r>
    </w:p>
    <w:p w14:paraId="67BDAA55" w14:textId="04D21B6A" w:rsidR="0063023F" w:rsidRPr="003105B0" w:rsidRDefault="00EE2956" w:rsidP="00BC79B6">
      <w:pPr>
        <w:spacing w:after="0"/>
        <w:jc w:val="center"/>
        <w:rPr>
          <w:rFonts w:cs="Calibri"/>
          <w:bCs/>
          <w:sz w:val="48"/>
          <w:szCs w:val="48"/>
        </w:rPr>
      </w:pPr>
      <w:r w:rsidRPr="00EE2956">
        <w:rPr>
          <w:rFonts w:cs="Calibri"/>
          <w:bCs/>
          <w:sz w:val="48"/>
          <w:szCs w:val="48"/>
        </w:rPr>
        <w:t>B.0</w:t>
      </w:r>
      <w:r w:rsidR="00B60158">
        <w:rPr>
          <w:rFonts w:cs="Calibri"/>
          <w:bCs/>
          <w:sz w:val="48"/>
          <w:szCs w:val="48"/>
        </w:rPr>
        <w:t>3</w:t>
      </w:r>
      <w:r w:rsidRPr="00EE2956">
        <w:rPr>
          <w:rFonts w:cs="Calibri"/>
          <w:bCs/>
          <w:sz w:val="48"/>
          <w:szCs w:val="48"/>
        </w:rPr>
        <w:t>.00.00</w:t>
      </w:r>
    </w:p>
    <w:p w14:paraId="723C721E" w14:textId="77777777" w:rsidR="0063023F" w:rsidRPr="003105B0" w:rsidRDefault="0063023F" w:rsidP="0097696B">
      <w:pPr>
        <w:pStyle w:val="Akapitzlist"/>
        <w:numPr>
          <w:ilvl w:val="0"/>
          <w:numId w:val="1"/>
        </w:numPr>
        <w:spacing w:after="0"/>
        <w:jc w:val="both"/>
        <w:rPr>
          <w:rFonts w:cs="Calibri"/>
          <w:b/>
          <w:bCs/>
        </w:rPr>
      </w:pPr>
      <w:r w:rsidRPr="003105B0">
        <w:rPr>
          <w:rFonts w:cs="Calibri"/>
          <w:bCs/>
        </w:rPr>
        <w:br w:type="page"/>
      </w:r>
      <w:r w:rsidRPr="003105B0">
        <w:rPr>
          <w:rFonts w:cs="Calibri"/>
          <w:b/>
          <w:bCs/>
        </w:rPr>
        <w:lastRenderedPageBreak/>
        <w:t>WSTĘP</w:t>
      </w:r>
    </w:p>
    <w:p w14:paraId="13F2D0AD" w14:textId="77777777" w:rsidR="0063023F" w:rsidRPr="003105B0" w:rsidRDefault="0063023F" w:rsidP="0097696B">
      <w:pPr>
        <w:pStyle w:val="Akapitzlist"/>
        <w:numPr>
          <w:ilvl w:val="1"/>
          <w:numId w:val="1"/>
        </w:numPr>
        <w:spacing w:after="0"/>
        <w:jc w:val="both"/>
        <w:rPr>
          <w:rFonts w:cs="Calibri"/>
          <w:b/>
          <w:bCs/>
        </w:rPr>
      </w:pPr>
      <w:r w:rsidRPr="003105B0">
        <w:rPr>
          <w:rFonts w:cs="Calibri"/>
          <w:b/>
          <w:bCs/>
        </w:rPr>
        <w:t>Przedmiot i zakres specyfikacji</w:t>
      </w:r>
    </w:p>
    <w:p w14:paraId="653C465A" w14:textId="7127100E" w:rsidR="003237D3" w:rsidRPr="003237D3" w:rsidRDefault="001E7B08" w:rsidP="003237D3">
      <w:pPr>
        <w:spacing w:after="0"/>
        <w:jc w:val="both"/>
        <w:rPr>
          <w:rFonts w:cs="Calibri"/>
        </w:rPr>
      </w:pPr>
      <w:r w:rsidRPr="001E7B08">
        <w:rPr>
          <w:rFonts w:cs="Calibri"/>
          <w:bCs/>
        </w:rPr>
        <w:t xml:space="preserve">Niniejszy tom specyfikacji obejmuje wymagania wykonania i odbioru robót </w:t>
      </w:r>
      <w:r w:rsidR="00F6096D">
        <w:rPr>
          <w:rFonts w:cs="Calibri"/>
          <w:bCs/>
        </w:rPr>
        <w:t>posadzkowych</w:t>
      </w:r>
      <w:r w:rsidRPr="001E7B08">
        <w:rPr>
          <w:rFonts w:cs="Calibri"/>
          <w:bCs/>
        </w:rPr>
        <w:t xml:space="preserve"> dla </w:t>
      </w:r>
      <w:r w:rsidR="0093693B" w:rsidRPr="0093693B">
        <w:rPr>
          <w:rFonts w:cs="Calibri"/>
        </w:rPr>
        <w:t xml:space="preserve">inwestycji </w:t>
      </w:r>
      <w:r w:rsidR="00331942" w:rsidRPr="00331942">
        <w:rPr>
          <w:rFonts w:cs="Calibri"/>
        </w:rPr>
        <w:t>Dostosowanie budynku przy ul. Zamkowej 6 w Pabianicach do potrzeb osób z niepełnosprawnościami</w:t>
      </w:r>
      <w:r w:rsidRPr="001E7B08">
        <w:rPr>
          <w:rFonts w:cs="Calibri"/>
          <w:bCs/>
        </w:rPr>
        <w:t>.</w:t>
      </w:r>
    </w:p>
    <w:p w14:paraId="5463CBCD" w14:textId="77777777" w:rsidR="0063023F" w:rsidRPr="00247FB3" w:rsidRDefault="0063023F" w:rsidP="00247FB3">
      <w:pPr>
        <w:spacing w:after="0"/>
        <w:jc w:val="both"/>
        <w:rPr>
          <w:rFonts w:cs="Calibri"/>
          <w:b/>
          <w:bCs/>
        </w:rPr>
      </w:pPr>
      <w:r w:rsidRPr="00247FB3">
        <w:rPr>
          <w:rFonts w:cs="Calibri"/>
          <w:b/>
          <w:bCs/>
        </w:rPr>
        <w:t>Klasyfikacja robót wg Wspólnego Słownika Zamówień (CPV).</w:t>
      </w:r>
    </w:p>
    <w:p w14:paraId="138E60E6" w14:textId="77777777" w:rsidR="007C29B6" w:rsidRDefault="007704D9" w:rsidP="007704D9">
      <w:pPr>
        <w:spacing w:after="0"/>
        <w:jc w:val="both"/>
        <w:rPr>
          <w:rFonts w:cs="Calibri"/>
          <w:bCs/>
        </w:rPr>
      </w:pPr>
      <w:r w:rsidRPr="007704D9">
        <w:rPr>
          <w:rFonts w:cs="Calibri"/>
          <w:bCs/>
        </w:rPr>
        <w:t>45400000-1</w:t>
      </w:r>
      <w:r>
        <w:rPr>
          <w:rFonts w:cs="Calibri"/>
          <w:bCs/>
        </w:rPr>
        <w:t xml:space="preserve"> </w:t>
      </w:r>
      <w:r w:rsidRPr="007704D9">
        <w:rPr>
          <w:rFonts w:cs="Calibri"/>
          <w:bCs/>
        </w:rPr>
        <w:t>Roboty wykończeniowe w zakresie obiektów</w:t>
      </w:r>
      <w:r>
        <w:rPr>
          <w:rFonts w:cs="Calibri"/>
          <w:bCs/>
        </w:rPr>
        <w:t xml:space="preserve"> </w:t>
      </w:r>
      <w:r w:rsidRPr="007704D9">
        <w:rPr>
          <w:rFonts w:cs="Calibri"/>
          <w:bCs/>
        </w:rPr>
        <w:t>budowlanych</w:t>
      </w:r>
    </w:p>
    <w:p w14:paraId="582820D5" w14:textId="77777777" w:rsidR="00AC274D" w:rsidRDefault="00621EF2" w:rsidP="00AC274D">
      <w:pPr>
        <w:spacing w:after="0"/>
        <w:jc w:val="both"/>
        <w:rPr>
          <w:rFonts w:cs="Calibri"/>
          <w:bCs/>
        </w:rPr>
      </w:pPr>
      <w:r w:rsidRPr="00621EF2">
        <w:rPr>
          <w:rFonts w:cs="Calibri"/>
          <w:bCs/>
        </w:rPr>
        <w:t>45430000-0</w:t>
      </w:r>
      <w:r>
        <w:rPr>
          <w:rFonts w:cs="Calibri"/>
          <w:bCs/>
        </w:rPr>
        <w:t xml:space="preserve"> </w:t>
      </w:r>
      <w:r w:rsidRPr="00621EF2">
        <w:rPr>
          <w:rFonts w:cs="Calibri"/>
          <w:bCs/>
        </w:rPr>
        <w:t>Pokrywanie podłóg i ścian</w:t>
      </w:r>
    </w:p>
    <w:p w14:paraId="16807DF2" w14:textId="77777777" w:rsidR="00621EF2" w:rsidRDefault="00621EF2" w:rsidP="00AC274D">
      <w:pPr>
        <w:spacing w:after="0"/>
        <w:jc w:val="both"/>
        <w:rPr>
          <w:rFonts w:cs="Calibri"/>
          <w:bCs/>
        </w:rPr>
      </w:pPr>
      <w:r w:rsidRPr="00621EF2">
        <w:rPr>
          <w:rFonts w:cs="Calibri"/>
          <w:bCs/>
        </w:rPr>
        <w:t>45431000-7</w:t>
      </w:r>
      <w:r>
        <w:rPr>
          <w:rFonts w:cs="Calibri"/>
          <w:bCs/>
        </w:rPr>
        <w:t xml:space="preserve"> </w:t>
      </w:r>
      <w:r w:rsidRPr="00621EF2">
        <w:rPr>
          <w:rFonts w:cs="Calibri"/>
          <w:bCs/>
        </w:rPr>
        <w:t>Kładzenie płytek</w:t>
      </w:r>
    </w:p>
    <w:p w14:paraId="5A6C7C56" w14:textId="77777777" w:rsidR="001A28D3" w:rsidRDefault="001A28D3" w:rsidP="001A28D3">
      <w:pPr>
        <w:spacing w:after="0"/>
        <w:jc w:val="both"/>
        <w:rPr>
          <w:rFonts w:cs="Calibri"/>
          <w:bCs/>
        </w:rPr>
      </w:pPr>
      <w:r w:rsidRPr="001A28D3">
        <w:rPr>
          <w:rFonts w:cs="Calibri"/>
          <w:bCs/>
        </w:rPr>
        <w:t>45432000-4</w:t>
      </w:r>
      <w:r>
        <w:rPr>
          <w:rFonts w:cs="Calibri"/>
          <w:bCs/>
        </w:rPr>
        <w:t xml:space="preserve"> </w:t>
      </w:r>
      <w:r w:rsidRPr="001A28D3">
        <w:rPr>
          <w:rFonts w:cs="Calibri"/>
          <w:bCs/>
        </w:rPr>
        <w:t>Kładzenie i wykładanie podłóg, ścian i tapetowanie</w:t>
      </w:r>
      <w:r>
        <w:rPr>
          <w:rFonts w:cs="Calibri"/>
          <w:bCs/>
        </w:rPr>
        <w:t xml:space="preserve"> </w:t>
      </w:r>
      <w:r w:rsidRPr="001A28D3">
        <w:rPr>
          <w:rFonts w:cs="Calibri"/>
          <w:bCs/>
        </w:rPr>
        <w:t>ścian</w:t>
      </w:r>
    </w:p>
    <w:p w14:paraId="0EEADDC4" w14:textId="77777777" w:rsidR="00247FB3" w:rsidRDefault="00247FB3" w:rsidP="0097696B">
      <w:pPr>
        <w:pStyle w:val="Akapitzlist"/>
        <w:numPr>
          <w:ilvl w:val="1"/>
          <w:numId w:val="1"/>
        </w:numPr>
        <w:spacing w:after="0"/>
        <w:jc w:val="both"/>
        <w:rPr>
          <w:rFonts w:cs="Calibri"/>
          <w:b/>
          <w:bCs/>
        </w:rPr>
      </w:pPr>
      <w:r>
        <w:rPr>
          <w:rFonts w:cs="Calibri"/>
          <w:b/>
          <w:bCs/>
        </w:rPr>
        <w:t>Zakres stosowania specyfikacji</w:t>
      </w:r>
    </w:p>
    <w:p w14:paraId="634A589B" w14:textId="77777777" w:rsidR="00247FB3" w:rsidRDefault="00247FB3" w:rsidP="00247FB3">
      <w:pPr>
        <w:spacing w:after="0"/>
        <w:jc w:val="both"/>
        <w:rPr>
          <w:rFonts w:cs="Calibri"/>
          <w:bCs/>
        </w:rPr>
      </w:pPr>
      <w:r w:rsidRPr="003E2CE8">
        <w:rPr>
          <w:rFonts w:cs="Calibri"/>
          <w:bCs/>
        </w:rPr>
        <w:t xml:space="preserve">Szczegółowa specyfikacja techniczna jest </w:t>
      </w:r>
      <w:r w:rsidR="00BD7339" w:rsidRPr="003E2CE8">
        <w:rPr>
          <w:rFonts w:cs="Calibri"/>
          <w:bCs/>
        </w:rPr>
        <w:t>stosowana jako</w:t>
      </w:r>
      <w:r w:rsidRPr="003E2CE8">
        <w:rPr>
          <w:rFonts w:cs="Calibri"/>
          <w:bCs/>
        </w:rPr>
        <w:t xml:space="preserve"> dokument pod Zamówienie Publiczne przy zlecaniu i realizacji robót wymienionych w pkt. 1.1.</w:t>
      </w:r>
    </w:p>
    <w:p w14:paraId="36361930" w14:textId="77777777" w:rsidR="00247FB3" w:rsidRDefault="00247FB3" w:rsidP="0097696B">
      <w:pPr>
        <w:pStyle w:val="Akapitzlist"/>
        <w:numPr>
          <w:ilvl w:val="1"/>
          <w:numId w:val="1"/>
        </w:numPr>
        <w:spacing w:after="0"/>
        <w:jc w:val="both"/>
        <w:rPr>
          <w:rFonts w:cs="Calibri"/>
          <w:b/>
          <w:bCs/>
        </w:rPr>
      </w:pPr>
      <w:r>
        <w:rPr>
          <w:rFonts w:cs="Calibri"/>
          <w:b/>
          <w:bCs/>
        </w:rPr>
        <w:t>Określenia podstawowe</w:t>
      </w:r>
    </w:p>
    <w:p w14:paraId="547108F9" w14:textId="77777777" w:rsidR="00247FB3" w:rsidRPr="00E025EF" w:rsidRDefault="00247FB3" w:rsidP="00247FB3">
      <w:pPr>
        <w:spacing w:after="0"/>
        <w:jc w:val="both"/>
        <w:rPr>
          <w:rFonts w:cs="Calibri"/>
          <w:bCs/>
        </w:rPr>
      </w:pPr>
      <w:r w:rsidRPr="00E025EF">
        <w:rPr>
          <w:rFonts w:cs="Calibri"/>
          <w:bCs/>
        </w:rPr>
        <w:t>Określenia i nazewnictwo użyte w niniejszej szczegółowej specyfikacji technicznej są</w:t>
      </w:r>
      <w:r>
        <w:rPr>
          <w:rFonts w:cs="Calibri"/>
          <w:bCs/>
        </w:rPr>
        <w:t xml:space="preserve"> </w:t>
      </w:r>
      <w:r w:rsidRPr="00E025EF">
        <w:rPr>
          <w:rFonts w:cs="Calibri"/>
          <w:bCs/>
        </w:rPr>
        <w:t>zgodne z obowiązującymi podanymi w normach PN i przepisach Prawa budowlanego.</w:t>
      </w:r>
    </w:p>
    <w:p w14:paraId="0F721DB0" w14:textId="77777777" w:rsidR="00247FB3" w:rsidRPr="00247FB3" w:rsidRDefault="00247FB3" w:rsidP="00247FB3">
      <w:pPr>
        <w:spacing w:after="0"/>
        <w:jc w:val="both"/>
        <w:rPr>
          <w:rFonts w:cs="Calibri"/>
          <w:bCs/>
        </w:rPr>
      </w:pPr>
      <w:r w:rsidRPr="00247FB3">
        <w:rPr>
          <w:rFonts w:cs="Calibri"/>
          <w:bCs/>
        </w:rPr>
        <w:t>Posadzka – wierzchnia warstwa stropu stanowiąca wykończenie jego powierzchni</w:t>
      </w:r>
    </w:p>
    <w:p w14:paraId="27E9ABA0" w14:textId="77777777" w:rsidR="00247FB3" w:rsidRPr="00247FB3" w:rsidRDefault="00247FB3" w:rsidP="00247FB3">
      <w:pPr>
        <w:spacing w:after="0"/>
        <w:jc w:val="both"/>
        <w:rPr>
          <w:rFonts w:cs="Calibri"/>
          <w:bCs/>
        </w:rPr>
      </w:pPr>
      <w:r w:rsidRPr="00247FB3">
        <w:rPr>
          <w:rFonts w:cs="Calibri"/>
          <w:bCs/>
        </w:rPr>
        <w:t>Podłoże – element konstrukcji budynku, na którym ułożona jest podłoga,</w:t>
      </w:r>
    </w:p>
    <w:p w14:paraId="4A69E5ED" w14:textId="77777777" w:rsidR="00247FB3" w:rsidRPr="00247FB3" w:rsidRDefault="00247FB3" w:rsidP="00247FB3">
      <w:pPr>
        <w:spacing w:after="0"/>
        <w:jc w:val="both"/>
        <w:rPr>
          <w:rFonts w:cs="Calibri"/>
          <w:bCs/>
        </w:rPr>
      </w:pPr>
      <w:r w:rsidRPr="00247FB3">
        <w:rPr>
          <w:rFonts w:cs="Calibri"/>
          <w:bCs/>
        </w:rPr>
        <w:t>Podkład betonowy – wykonany z betonu , o określonej grubości, wytrzymałości i suchości, na</w:t>
      </w:r>
    </w:p>
    <w:p w14:paraId="5BA695E7" w14:textId="77777777" w:rsidR="00247FB3" w:rsidRPr="00247FB3" w:rsidRDefault="00247FB3" w:rsidP="00247FB3">
      <w:pPr>
        <w:spacing w:after="0"/>
        <w:jc w:val="both"/>
        <w:rPr>
          <w:rFonts w:cs="Calibri"/>
          <w:bCs/>
        </w:rPr>
      </w:pPr>
      <w:r w:rsidRPr="00247FB3">
        <w:rPr>
          <w:rFonts w:cs="Calibri"/>
          <w:bCs/>
        </w:rPr>
        <w:t>którym wykonuje się posadzkę żywiczną</w:t>
      </w:r>
    </w:p>
    <w:p w14:paraId="20D1B2D6" w14:textId="77777777" w:rsidR="00247FB3" w:rsidRPr="00247FB3" w:rsidRDefault="00247FB3" w:rsidP="00247FB3">
      <w:pPr>
        <w:spacing w:after="0"/>
        <w:jc w:val="both"/>
        <w:rPr>
          <w:rFonts w:cs="Calibri"/>
          <w:bCs/>
        </w:rPr>
      </w:pPr>
      <w:r w:rsidRPr="00247FB3">
        <w:rPr>
          <w:rFonts w:cs="Calibri"/>
          <w:bCs/>
        </w:rPr>
        <w:t>Wykładzina – suche pokrycie dowolnej wewnętrznej powierzchni budynku.</w:t>
      </w:r>
    </w:p>
    <w:p w14:paraId="27C66F25" w14:textId="77777777" w:rsidR="00247FB3" w:rsidRDefault="00247FB3" w:rsidP="00247FB3">
      <w:pPr>
        <w:spacing w:after="0"/>
        <w:jc w:val="both"/>
        <w:rPr>
          <w:rFonts w:cs="Calibri"/>
          <w:bCs/>
        </w:rPr>
      </w:pPr>
      <w:r w:rsidRPr="00247FB3">
        <w:rPr>
          <w:rFonts w:cs="Calibri"/>
          <w:bCs/>
        </w:rPr>
        <w:t>Okładzina – pionowe lub prawie pionowe, nienośne pokrycie konstrukcji.</w:t>
      </w:r>
    </w:p>
    <w:p w14:paraId="02A2A926" w14:textId="77777777" w:rsidR="00247FB3" w:rsidRPr="004E6231" w:rsidRDefault="00247FB3" w:rsidP="0097696B">
      <w:pPr>
        <w:pStyle w:val="Akapitzlist"/>
        <w:numPr>
          <w:ilvl w:val="1"/>
          <w:numId w:val="1"/>
        </w:numPr>
        <w:spacing w:after="0"/>
        <w:jc w:val="both"/>
        <w:rPr>
          <w:rFonts w:cs="Calibri"/>
          <w:b/>
          <w:bCs/>
        </w:rPr>
      </w:pPr>
      <w:r w:rsidRPr="004E6231">
        <w:rPr>
          <w:rFonts w:cs="Calibri"/>
          <w:b/>
          <w:bCs/>
        </w:rPr>
        <w:t>Zakres robót objętych specyfikacją</w:t>
      </w:r>
    </w:p>
    <w:p w14:paraId="353FCDF4" w14:textId="658B74BC" w:rsidR="00247FB3" w:rsidRDefault="00247FB3" w:rsidP="00247FB3">
      <w:pPr>
        <w:spacing w:after="0"/>
        <w:jc w:val="both"/>
        <w:rPr>
          <w:rFonts w:cs="Calibri"/>
          <w:bCs/>
        </w:rPr>
      </w:pPr>
      <w:r w:rsidRPr="00E025EF">
        <w:rPr>
          <w:rFonts w:cs="Calibri"/>
          <w:bCs/>
        </w:rPr>
        <w:t>Ustalenia zawarte w niniejszej szczegółowej specyfikacji technicznej dotyczą</w:t>
      </w:r>
      <w:r>
        <w:rPr>
          <w:rFonts w:cs="Calibri"/>
          <w:bCs/>
        </w:rPr>
        <w:t xml:space="preserve"> wykonania </w:t>
      </w:r>
      <w:r w:rsidR="00662986">
        <w:rPr>
          <w:rFonts w:cs="Calibri"/>
          <w:bCs/>
        </w:rPr>
        <w:t>podłóg i posadzek zgodnie z projektem.</w:t>
      </w:r>
    </w:p>
    <w:p w14:paraId="74DA4150" w14:textId="77777777" w:rsidR="00515449" w:rsidRPr="00515449" w:rsidRDefault="00515449" w:rsidP="0097696B">
      <w:pPr>
        <w:pStyle w:val="Akapitzlist"/>
        <w:numPr>
          <w:ilvl w:val="1"/>
          <w:numId w:val="1"/>
        </w:numPr>
        <w:spacing w:after="0"/>
        <w:jc w:val="both"/>
        <w:rPr>
          <w:rFonts w:cs="Calibri"/>
          <w:b/>
          <w:bCs/>
        </w:rPr>
      </w:pPr>
      <w:r w:rsidRPr="00515449">
        <w:rPr>
          <w:rFonts w:cs="Calibri"/>
          <w:b/>
          <w:bCs/>
        </w:rPr>
        <w:t>Ogólne wymagania dotyczące robót</w:t>
      </w:r>
    </w:p>
    <w:p w14:paraId="740880DC" w14:textId="77777777" w:rsidR="00515449" w:rsidRPr="00515449" w:rsidRDefault="00515449" w:rsidP="00515449">
      <w:pPr>
        <w:spacing w:after="0"/>
        <w:jc w:val="both"/>
        <w:rPr>
          <w:rFonts w:cs="Calibri"/>
          <w:bCs/>
        </w:rPr>
      </w:pPr>
      <w:r w:rsidRPr="00515449">
        <w:rPr>
          <w:rFonts w:cs="Calibri"/>
          <w:bCs/>
        </w:rPr>
        <w:t>Ogólne wymagania dotyczące robót podano w „Wymaganiach Ogólnych”.</w:t>
      </w:r>
    </w:p>
    <w:p w14:paraId="05448038" w14:textId="4C74BB96" w:rsidR="00247FB3" w:rsidRDefault="00515449" w:rsidP="00515449">
      <w:pPr>
        <w:spacing w:after="0"/>
        <w:jc w:val="both"/>
        <w:rPr>
          <w:rFonts w:cs="Calibri"/>
          <w:bCs/>
        </w:rPr>
      </w:pPr>
      <w:r w:rsidRPr="00515449">
        <w:rPr>
          <w:rFonts w:cs="Calibri"/>
          <w:bCs/>
        </w:rPr>
        <w:t>Wykonawca jest odpowiedzialny za jakość ich wykonania oraz za zgodność z dokumentacją projektową, specyfikacją techniczną i poleceniami inspektorów nadzoru.</w:t>
      </w:r>
    </w:p>
    <w:p w14:paraId="354D3519" w14:textId="75408F60" w:rsidR="00EE2956" w:rsidRPr="00EE2956" w:rsidRDefault="00EE2956" w:rsidP="00EE2956">
      <w:pPr>
        <w:pStyle w:val="Akapitzlist"/>
        <w:numPr>
          <w:ilvl w:val="1"/>
          <w:numId w:val="1"/>
        </w:numPr>
        <w:spacing w:after="0"/>
        <w:jc w:val="both"/>
        <w:rPr>
          <w:rFonts w:cs="Calibri"/>
          <w:b/>
          <w:bCs/>
        </w:rPr>
      </w:pPr>
      <w:r w:rsidRPr="00EE2956">
        <w:rPr>
          <w:rFonts w:cs="Calibri"/>
          <w:b/>
          <w:bCs/>
        </w:rPr>
        <w:t>Zakres robót</w:t>
      </w:r>
    </w:p>
    <w:p w14:paraId="6B323A77" w14:textId="4F922040" w:rsidR="00EE2956" w:rsidRPr="00331942" w:rsidRDefault="00EE2956" w:rsidP="00331942">
      <w:pPr>
        <w:pStyle w:val="Akapitzlist"/>
        <w:numPr>
          <w:ilvl w:val="0"/>
          <w:numId w:val="15"/>
        </w:numPr>
        <w:spacing w:after="0"/>
        <w:jc w:val="both"/>
        <w:rPr>
          <w:rFonts w:cs="Calibri"/>
          <w:bCs/>
        </w:rPr>
      </w:pPr>
      <w:r w:rsidRPr="00331942">
        <w:rPr>
          <w:rFonts w:cs="Calibri"/>
          <w:bCs/>
        </w:rPr>
        <w:t>Warstwy wyrównujące pod posadzki</w:t>
      </w:r>
    </w:p>
    <w:p w14:paraId="00F9CB30" w14:textId="05A58B02" w:rsidR="00EE2956" w:rsidRPr="00331942" w:rsidRDefault="00EE2956" w:rsidP="00331942">
      <w:pPr>
        <w:pStyle w:val="Akapitzlist"/>
        <w:numPr>
          <w:ilvl w:val="0"/>
          <w:numId w:val="15"/>
        </w:numPr>
        <w:spacing w:after="0"/>
        <w:jc w:val="both"/>
        <w:rPr>
          <w:rFonts w:cs="Calibri"/>
          <w:bCs/>
        </w:rPr>
      </w:pPr>
      <w:r w:rsidRPr="00331942">
        <w:rPr>
          <w:rFonts w:cs="Calibri"/>
          <w:bCs/>
        </w:rPr>
        <w:t xml:space="preserve">Posadzki z wykładzin z tworzyw sztucznych </w:t>
      </w:r>
    </w:p>
    <w:p w14:paraId="0D853B9D" w14:textId="3F3F1C58" w:rsidR="00EE2956" w:rsidRPr="00331942" w:rsidRDefault="00EE2956" w:rsidP="00331942">
      <w:pPr>
        <w:pStyle w:val="Akapitzlist"/>
        <w:numPr>
          <w:ilvl w:val="0"/>
          <w:numId w:val="15"/>
        </w:numPr>
        <w:spacing w:after="0"/>
        <w:jc w:val="both"/>
        <w:rPr>
          <w:rFonts w:cs="Calibri"/>
          <w:bCs/>
        </w:rPr>
      </w:pPr>
      <w:r w:rsidRPr="00331942">
        <w:rPr>
          <w:rFonts w:cs="Calibri"/>
          <w:bCs/>
        </w:rPr>
        <w:t>Posadzki z płytek ceramicznych</w:t>
      </w:r>
    </w:p>
    <w:p w14:paraId="4ADE0A10" w14:textId="77777777" w:rsidR="00247FB3" w:rsidRPr="00B118E4" w:rsidRDefault="00B118E4" w:rsidP="0097696B">
      <w:pPr>
        <w:pStyle w:val="Akapitzlist"/>
        <w:numPr>
          <w:ilvl w:val="0"/>
          <w:numId w:val="1"/>
        </w:numPr>
        <w:spacing w:after="0"/>
        <w:jc w:val="both"/>
        <w:rPr>
          <w:rFonts w:cs="Calibri"/>
          <w:b/>
          <w:bCs/>
        </w:rPr>
      </w:pPr>
      <w:r w:rsidRPr="00B118E4">
        <w:rPr>
          <w:rFonts w:cs="Calibri"/>
          <w:b/>
          <w:bCs/>
        </w:rPr>
        <w:t>MATERIAŁY</w:t>
      </w:r>
    </w:p>
    <w:p w14:paraId="4334D404" w14:textId="77777777" w:rsidR="00247FB3" w:rsidRPr="00CA03B9" w:rsidRDefault="00CA03B9" w:rsidP="0097696B">
      <w:pPr>
        <w:pStyle w:val="Akapitzlist"/>
        <w:numPr>
          <w:ilvl w:val="1"/>
          <w:numId w:val="1"/>
        </w:numPr>
        <w:spacing w:after="0"/>
        <w:jc w:val="both"/>
        <w:rPr>
          <w:rFonts w:cs="Calibri"/>
          <w:b/>
          <w:bCs/>
        </w:rPr>
      </w:pPr>
      <w:r w:rsidRPr="00CA03B9">
        <w:rPr>
          <w:rFonts w:cs="Calibri"/>
          <w:b/>
          <w:bCs/>
        </w:rPr>
        <w:t>Ogólne wymagania dotyczące materiałów</w:t>
      </w:r>
    </w:p>
    <w:p w14:paraId="5DA19FB6" w14:textId="77777777" w:rsidR="00C653B5" w:rsidRPr="00C653B5" w:rsidRDefault="00C653B5" w:rsidP="00C653B5">
      <w:pPr>
        <w:spacing w:after="0"/>
        <w:jc w:val="both"/>
        <w:rPr>
          <w:rFonts w:cs="Calibri"/>
          <w:b/>
          <w:bCs/>
        </w:rPr>
      </w:pPr>
      <w:r w:rsidRPr="00C653B5">
        <w:rPr>
          <w:rFonts w:cs="Calibri"/>
          <w:b/>
          <w:bCs/>
        </w:rPr>
        <w:t>Parametry wykładziny podłogowej nie gorsze niż:</w:t>
      </w:r>
    </w:p>
    <w:tbl>
      <w:tblPr>
        <w:tblStyle w:val="Siatkatabelijasna"/>
        <w:tblW w:w="8745" w:type="dxa"/>
        <w:tblLook w:val="04A0" w:firstRow="1" w:lastRow="0" w:firstColumn="1" w:lastColumn="0" w:noHBand="0" w:noVBand="1"/>
      </w:tblPr>
      <w:tblGrid>
        <w:gridCol w:w="2525"/>
        <w:gridCol w:w="5077"/>
        <w:gridCol w:w="1143"/>
      </w:tblGrid>
      <w:tr w:rsidR="00331942" w:rsidRPr="00331942" w14:paraId="541AC2A4" w14:textId="77777777" w:rsidTr="00331942">
        <w:tc>
          <w:tcPr>
            <w:tcW w:w="0" w:type="auto"/>
            <w:hideMark/>
          </w:tcPr>
          <w:p w14:paraId="56244DA4" w14:textId="77777777" w:rsidR="00331942" w:rsidRPr="00331942" w:rsidRDefault="00331942" w:rsidP="00331942">
            <w:pPr>
              <w:spacing w:after="0"/>
              <w:jc w:val="both"/>
              <w:rPr>
                <w:rFonts w:cs="Calibri"/>
              </w:rPr>
            </w:pPr>
            <w:r w:rsidRPr="00331942">
              <w:rPr>
                <w:rFonts w:cs="Calibri"/>
              </w:rPr>
              <w:t>Grubość całkowita</w:t>
            </w:r>
          </w:p>
        </w:tc>
        <w:tc>
          <w:tcPr>
            <w:tcW w:w="0" w:type="auto"/>
            <w:hideMark/>
          </w:tcPr>
          <w:p w14:paraId="49C3739B" w14:textId="77777777" w:rsidR="00331942" w:rsidRPr="00331942" w:rsidRDefault="00331942" w:rsidP="00331942">
            <w:pPr>
              <w:spacing w:after="0"/>
              <w:jc w:val="both"/>
              <w:rPr>
                <w:rFonts w:cs="Calibri"/>
              </w:rPr>
            </w:pPr>
            <w:r w:rsidRPr="00331942">
              <w:rPr>
                <w:rFonts w:cs="Calibri"/>
              </w:rPr>
              <w:t>2,5</w:t>
            </w:r>
          </w:p>
        </w:tc>
        <w:tc>
          <w:tcPr>
            <w:tcW w:w="0" w:type="auto"/>
            <w:hideMark/>
          </w:tcPr>
          <w:p w14:paraId="6A36D1C8" w14:textId="77777777" w:rsidR="00331942" w:rsidRPr="00331942" w:rsidRDefault="00331942" w:rsidP="00331942">
            <w:pPr>
              <w:spacing w:after="0"/>
              <w:jc w:val="both"/>
              <w:rPr>
                <w:rFonts w:cs="Calibri"/>
              </w:rPr>
            </w:pPr>
            <w:r w:rsidRPr="00331942">
              <w:rPr>
                <w:rFonts w:cs="Calibri"/>
              </w:rPr>
              <w:t>mm</w:t>
            </w:r>
          </w:p>
        </w:tc>
      </w:tr>
      <w:tr w:rsidR="00331942" w:rsidRPr="00331942" w14:paraId="3AFA13E1" w14:textId="77777777" w:rsidTr="00331942">
        <w:tc>
          <w:tcPr>
            <w:tcW w:w="0" w:type="auto"/>
            <w:hideMark/>
          </w:tcPr>
          <w:p w14:paraId="21A9F761" w14:textId="77777777" w:rsidR="00331942" w:rsidRPr="00331942" w:rsidRDefault="00331942" w:rsidP="00331942">
            <w:pPr>
              <w:spacing w:after="0"/>
              <w:jc w:val="both"/>
              <w:rPr>
                <w:rFonts w:cs="Calibri"/>
              </w:rPr>
            </w:pPr>
            <w:r w:rsidRPr="00331942">
              <w:rPr>
                <w:rFonts w:cs="Calibri"/>
              </w:rPr>
              <w:t>Rodzaj wykładziny</w:t>
            </w:r>
          </w:p>
        </w:tc>
        <w:tc>
          <w:tcPr>
            <w:tcW w:w="0" w:type="auto"/>
            <w:hideMark/>
          </w:tcPr>
          <w:p w14:paraId="10840A00" w14:textId="77777777" w:rsidR="00331942" w:rsidRPr="00331942" w:rsidRDefault="00331942" w:rsidP="00331942">
            <w:pPr>
              <w:spacing w:after="0"/>
              <w:jc w:val="both"/>
              <w:rPr>
                <w:rFonts w:cs="Calibri"/>
              </w:rPr>
            </w:pPr>
            <w:r w:rsidRPr="00331942">
              <w:rPr>
                <w:rFonts w:cs="Calibri"/>
              </w:rPr>
              <w:t>homogeniczna</w:t>
            </w:r>
          </w:p>
        </w:tc>
        <w:tc>
          <w:tcPr>
            <w:tcW w:w="0" w:type="auto"/>
            <w:hideMark/>
          </w:tcPr>
          <w:p w14:paraId="34805999" w14:textId="77777777" w:rsidR="00331942" w:rsidRPr="00331942" w:rsidRDefault="00331942" w:rsidP="00331942">
            <w:pPr>
              <w:spacing w:after="0"/>
              <w:jc w:val="both"/>
              <w:rPr>
                <w:rFonts w:cs="Calibri"/>
              </w:rPr>
            </w:pPr>
          </w:p>
        </w:tc>
      </w:tr>
      <w:tr w:rsidR="00331942" w:rsidRPr="00331942" w14:paraId="57D50ECE" w14:textId="77777777" w:rsidTr="00331942">
        <w:tc>
          <w:tcPr>
            <w:tcW w:w="0" w:type="auto"/>
            <w:hideMark/>
          </w:tcPr>
          <w:p w14:paraId="26D97BA7" w14:textId="77777777" w:rsidR="00331942" w:rsidRPr="00331942" w:rsidRDefault="00331942" w:rsidP="00331942">
            <w:pPr>
              <w:spacing w:after="0"/>
              <w:jc w:val="both"/>
              <w:rPr>
                <w:rFonts w:cs="Calibri"/>
              </w:rPr>
            </w:pPr>
            <w:r w:rsidRPr="00331942">
              <w:rPr>
                <w:rFonts w:cs="Calibri"/>
              </w:rPr>
              <w:t>Waga całkowita</w:t>
            </w:r>
          </w:p>
        </w:tc>
        <w:tc>
          <w:tcPr>
            <w:tcW w:w="0" w:type="auto"/>
            <w:hideMark/>
          </w:tcPr>
          <w:p w14:paraId="00697224" w14:textId="77777777" w:rsidR="00331942" w:rsidRPr="00331942" w:rsidRDefault="00331942" w:rsidP="00331942">
            <w:pPr>
              <w:spacing w:after="0"/>
              <w:jc w:val="both"/>
              <w:rPr>
                <w:rFonts w:cs="Calibri"/>
              </w:rPr>
            </w:pPr>
            <w:r w:rsidRPr="00331942">
              <w:rPr>
                <w:rFonts w:cs="Calibri"/>
              </w:rPr>
              <w:t>3000</w:t>
            </w:r>
          </w:p>
        </w:tc>
        <w:tc>
          <w:tcPr>
            <w:tcW w:w="0" w:type="auto"/>
            <w:hideMark/>
          </w:tcPr>
          <w:p w14:paraId="684C7298" w14:textId="77777777" w:rsidR="00331942" w:rsidRPr="00331942" w:rsidRDefault="00331942" w:rsidP="00331942">
            <w:pPr>
              <w:spacing w:after="0"/>
              <w:jc w:val="both"/>
              <w:rPr>
                <w:rFonts w:cs="Calibri"/>
              </w:rPr>
            </w:pPr>
            <w:r w:rsidRPr="00331942">
              <w:rPr>
                <w:rFonts w:cs="Calibri"/>
              </w:rPr>
              <w:t>g/m2</w:t>
            </w:r>
          </w:p>
        </w:tc>
      </w:tr>
      <w:tr w:rsidR="00331942" w:rsidRPr="00331942" w14:paraId="22BB9654" w14:textId="77777777" w:rsidTr="00331942">
        <w:tc>
          <w:tcPr>
            <w:tcW w:w="0" w:type="auto"/>
            <w:hideMark/>
          </w:tcPr>
          <w:p w14:paraId="23A5D80B" w14:textId="77777777" w:rsidR="00331942" w:rsidRPr="00331942" w:rsidRDefault="00331942" w:rsidP="00331942">
            <w:pPr>
              <w:spacing w:after="0"/>
              <w:jc w:val="both"/>
              <w:rPr>
                <w:rFonts w:cs="Calibri"/>
              </w:rPr>
            </w:pPr>
            <w:r w:rsidRPr="00331942">
              <w:rPr>
                <w:rFonts w:cs="Calibri"/>
              </w:rPr>
              <w:t>Klasa palności</w:t>
            </w:r>
          </w:p>
        </w:tc>
        <w:tc>
          <w:tcPr>
            <w:tcW w:w="0" w:type="auto"/>
            <w:hideMark/>
          </w:tcPr>
          <w:p w14:paraId="2C5DE45B" w14:textId="77777777" w:rsidR="00331942" w:rsidRPr="00331942" w:rsidRDefault="00331942" w:rsidP="00331942">
            <w:pPr>
              <w:spacing w:after="0"/>
              <w:jc w:val="both"/>
              <w:rPr>
                <w:rFonts w:cs="Calibri"/>
              </w:rPr>
            </w:pPr>
            <w:r w:rsidRPr="00331942">
              <w:rPr>
                <w:rFonts w:cs="Calibri"/>
              </w:rPr>
              <w:t>Cfl-s1</w:t>
            </w:r>
          </w:p>
        </w:tc>
        <w:tc>
          <w:tcPr>
            <w:tcW w:w="0" w:type="auto"/>
            <w:hideMark/>
          </w:tcPr>
          <w:p w14:paraId="290E400A" w14:textId="77777777" w:rsidR="00331942" w:rsidRPr="00331942" w:rsidRDefault="00331942" w:rsidP="00331942">
            <w:pPr>
              <w:spacing w:after="0"/>
              <w:jc w:val="both"/>
              <w:rPr>
                <w:rFonts w:cs="Calibri"/>
              </w:rPr>
            </w:pPr>
          </w:p>
        </w:tc>
      </w:tr>
      <w:tr w:rsidR="00331942" w:rsidRPr="00331942" w14:paraId="125A8DF6" w14:textId="77777777" w:rsidTr="00331942">
        <w:tc>
          <w:tcPr>
            <w:tcW w:w="0" w:type="auto"/>
            <w:hideMark/>
          </w:tcPr>
          <w:p w14:paraId="1182CE10" w14:textId="77777777" w:rsidR="00331942" w:rsidRPr="00331942" w:rsidRDefault="00331942" w:rsidP="00331942">
            <w:pPr>
              <w:spacing w:after="0"/>
              <w:jc w:val="both"/>
              <w:rPr>
                <w:rFonts w:cs="Calibri"/>
              </w:rPr>
            </w:pPr>
            <w:r w:rsidRPr="00331942">
              <w:rPr>
                <w:rFonts w:cs="Calibri"/>
              </w:rPr>
              <w:t>Przeznaczenie</w:t>
            </w:r>
          </w:p>
        </w:tc>
        <w:tc>
          <w:tcPr>
            <w:tcW w:w="0" w:type="auto"/>
            <w:hideMark/>
          </w:tcPr>
          <w:p w14:paraId="2378F3FD" w14:textId="335A0B7E" w:rsidR="00331942" w:rsidRPr="00331942" w:rsidRDefault="00331942" w:rsidP="00331942">
            <w:pPr>
              <w:spacing w:after="0"/>
              <w:jc w:val="both"/>
              <w:rPr>
                <w:rFonts w:cs="Calibri"/>
              </w:rPr>
            </w:pPr>
            <w:r w:rsidRPr="00331942">
              <w:rPr>
                <w:rFonts w:cs="Calibri"/>
              </w:rPr>
              <w:t>obiektowe - bardzo intensywne użytkowanie</w:t>
            </w:r>
          </w:p>
        </w:tc>
        <w:tc>
          <w:tcPr>
            <w:tcW w:w="0" w:type="auto"/>
            <w:hideMark/>
          </w:tcPr>
          <w:p w14:paraId="649DBCA2" w14:textId="2D783C9D" w:rsidR="00331942" w:rsidRPr="00331942" w:rsidRDefault="00331942" w:rsidP="00331942">
            <w:pPr>
              <w:spacing w:after="0"/>
              <w:jc w:val="both"/>
              <w:rPr>
                <w:rFonts w:cs="Calibri"/>
              </w:rPr>
            </w:pPr>
            <w:r w:rsidRPr="00331942">
              <w:rPr>
                <w:rFonts w:cs="Calibri"/>
              </w:rPr>
              <w:t>klasa 34</w:t>
            </w:r>
          </w:p>
        </w:tc>
      </w:tr>
      <w:tr w:rsidR="00331942" w:rsidRPr="00331942" w14:paraId="0377CA0A" w14:textId="77777777" w:rsidTr="00331942">
        <w:tc>
          <w:tcPr>
            <w:tcW w:w="0" w:type="auto"/>
            <w:hideMark/>
          </w:tcPr>
          <w:p w14:paraId="3704DA8E" w14:textId="77777777" w:rsidR="00331942" w:rsidRPr="00331942" w:rsidRDefault="00331942" w:rsidP="00331942">
            <w:pPr>
              <w:spacing w:after="0"/>
              <w:jc w:val="both"/>
              <w:rPr>
                <w:rFonts w:cs="Calibri"/>
              </w:rPr>
            </w:pPr>
            <w:r w:rsidRPr="00331942">
              <w:rPr>
                <w:rFonts w:cs="Calibri"/>
              </w:rPr>
              <w:t>Antypoślizgowość</w:t>
            </w:r>
          </w:p>
        </w:tc>
        <w:tc>
          <w:tcPr>
            <w:tcW w:w="0" w:type="auto"/>
            <w:hideMark/>
          </w:tcPr>
          <w:p w14:paraId="5041384D" w14:textId="77777777" w:rsidR="00331942" w:rsidRPr="00331942" w:rsidRDefault="00331942" w:rsidP="00331942">
            <w:pPr>
              <w:spacing w:after="0"/>
              <w:jc w:val="both"/>
              <w:rPr>
                <w:rFonts w:cs="Calibri"/>
              </w:rPr>
            </w:pPr>
            <w:r w:rsidRPr="00331942">
              <w:rPr>
                <w:rFonts w:cs="Calibri"/>
              </w:rPr>
              <w:t>tak</w:t>
            </w:r>
          </w:p>
        </w:tc>
        <w:tc>
          <w:tcPr>
            <w:tcW w:w="0" w:type="auto"/>
            <w:hideMark/>
          </w:tcPr>
          <w:p w14:paraId="7119BD15" w14:textId="77777777" w:rsidR="00331942" w:rsidRPr="00331942" w:rsidRDefault="00331942" w:rsidP="00331942">
            <w:pPr>
              <w:spacing w:after="0"/>
              <w:jc w:val="both"/>
              <w:rPr>
                <w:rFonts w:cs="Calibri"/>
              </w:rPr>
            </w:pPr>
            <w:r w:rsidRPr="00331942">
              <w:rPr>
                <w:rFonts w:cs="Calibri"/>
              </w:rPr>
              <w:t>klasa R9</w:t>
            </w:r>
          </w:p>
        </w:tc>
      </w:tr>
      <w:tr w:rsidR="00331942" w:rsidRPr="00331942" w14:paraId="41925641" w14:textId="77777777" w:rsidTr="00331942">
        <w:tc>
          <w:tcPr>
            <w:tcW w:w="0" w:type="auto"/>
            <w:hideMark/>
          </w:tcPr>
          <w:p w14:paraId="258E9B68" w14:textId="77777777" w:rsidR="00331942" w:rsidRPr="00331942" w:rsidRDefault="00331942" w:rsidP="00331942">
            <w:pPr>
              <w:spacing w:after="0"/>
              <w:jc w:val="both"/>
              <w:rPr>
                <w:rFonts w:cs="Calibri"/>
              </w:rPr>
            </w:pPr>
            <w:r w:rsidRPr="00331942">
              <w:rPr>
                <w:rFonts w:cs="Calibri"/>
              </w:rPr>
              <w:t>Przewodność cieplna</w:t>
            </w:r>
          </w:p>
        </w:tc>
        <w:tc>
          <w:tcPr>
            <w:tcW w:w="0" w:type="auto"/>
            <w:hideMark/>
          </w:tcPr>
          <w:p w14:paraId="6AEC99FA" w14:textId="77777777" w:rsidR="00331942" w:rsidRPr="00331942" w:rsidRDefault="00331942" w:rsidP="00331942">
            <w:pPr>
              <w:spacing w:after="0"/>
              <w:jc w:val="both"/>
              <w:rPr>
                <w:rFonts w:cs="Calibri"/>
              </w:rPr>
            </w:pPr>
            <w:r w:rsidRPr="00331942">
              <w:rPr>
                <w:rFonts w:cs="Calibri"/>
              </w:rPr>
              <w:t>0,015</w:t>
            </w:r>
          </w:p>
        </w:tc>
        <w:tc>
          <w:tcPr>
            <w:tcW w:w="0" w:type="auto"/>
            <w:hideMark/>
          </w:tcPr>
          <w:p w14:paraId="11DC0AAD" w14:textId="77777777" w:rsidR="00331942" w:rsidRPr="00331942" w:rsidRDefault="00331942" w:rsidP="00331942">
            <w:pPr>
              <w:spacing w:after="0"/>
              <w:jc w:val="both"/>
              <w:rPr>
                <w:rFonts w:cs="Calibri"/>
              </w:rPr>
            </w:pPr>
            <w:r w:rsidRPr="00331942">
              <w:rPr>
                <w:rFonts w:cs="Calibri"/>
              </w:rPr>
              <w:t>m2 K/W</w:t>
            </w:r>
          </w:p>
        </w:tc>
      </w:tr>
    </w:tbl>
    <w:p w14:paraId="7F745571" w14:textId="77777777" w:rsidR="00331942" w:rsidRPr="00257EC7" w:rsidRDefault="00331942" w:rsidP="00C653B5">
      <w:pPr>
        <w:spacing w:after="0"/>
        <w:jc w:val="both"/>
        <w:rPr>
          <w:rFonts w:cs="Calibri"/>
        </w:rPr>
      </w:pPr>
    </w:p>
    <w:p w14:paraId="1BE0F382" w14:textId="77777777" w:rsidR="000D0D11" w:rsidRDefault="000D0D11" w:rsidP="00545538">
      <w:pPr>
        <w:spacing w:after="0"/>
        <w:jc w:val="both"/>
        <w:rPr>
          <w:rFonts w:cs="Calibri"/>
          <w:b/>
          <w:bCs/>
        </w:rPr>
      </w:pPr>
    </w:p>
    <w:p w14:paraId="5CB66CE0" w14:textId="1433CB04" w:rsidR="00545538" w:rsidRDefault="00545538" w:rsidP="00545538">
      <w:pPr>
        <w:spacing w:after="0"/>
        <w:jc w:val="both"/>
        <w:rPr>
          <w:rFonts w:cs="Calibri"/>
          <w:bCs/>
        </w:rPr>
      </w:pPr>
      <w:r w:rsidRPr="00545538">
        <w:rPr>
          <w:rFonts w:cs="Calibri"/>
          <w:b/>
          <w:bCs/>
        </w:rPr>
        <w:lastRenderedPageBreak/>
        <w:t xml:space="preserve">Płytki </w:t>
      </w:r>
      <w:r w:rsidR="00E6261E">
        <w:rPr>
          <w:rFonts w:cs="Calibri"/>
          <w:b/>
          <w:bCs/>
        </w:rPr>
        <w:t>ceramiczne</w:t>
      </w:r>
      <w:r w:rsidRPr="00545538">
        <w:rPr>
          <w:rFonts w:cs="Calibri"/>
          <w:bCs/>
        </w:rPr>
        <w:t xml:space="preserve"> </w:t>
      </w:r>
    </w:p>
    <w:p w14:paraId="5D7BBBE5" w14:textId="77777777" w:rsidR="00B41B0F" w:rsidRPr="00B41B0F" w:rsidRDefault="00B41B0F" w:rsidP="00B41B0F">
      <w:pPr>
        <w:pStyle w:val="Akapitzlist"/>
        <w:spacing w:after="0"/>
        <w:jc w:val="both"/>
        <w:rPr>
          <w:rFonts w:cs="Calibri"/>
          <w:bCs/>
        </w:rPr>
      </w:pPr>
      <w:r w:rsidRPr="00B41B0F">
        <w:rPr>
          <w:rFonts w:cs="Calibri"/>
          <w:bCs/>
        </w:rPr>
        <w:t>Wymagania minimalne :</w:t>
      </w:r>
    </w:p>
    <w:p w14:paraId="6EE416F5" w14:textId="49553586" w:rsidR="00B41B0F" w:rsidRPr="00B41B0F" w:rsidRDefault="00B41B0F" w:rsidP="00CD1B27">
      <w:pPr>
        <w:pStyle w:val="Akapitzlist"/>
        <w:numPr>
          <w:ilvl w:val="0"/>
          <w:numId w:val="5"/>
        </w:numPr>
        <w:spacing w:after="0"/>
        <w:rPr>
          <w:rFonts w:cs="Calibri"/>
          <w:bCs/>
        </w:rPr>
      </w:pPr>
      <w:r w:rsidRPr="00B41B0F">
        <w:rPr>
          <w:rFonts w:cs="Calibri"/>
          <w:bCs/>
        </w:rPr>
        <w:t xml:space="preserve">odporność na plamienie min. klasa </w:t>
      </w:r>
      <w:r w:rsidR="00257EC7">
        <w:rPr>
          <w:rFonts w:cs="Calibri"/>
          <w:bCs/>
        </w:rPr>
        <w:t>1-3</w:t>
      </w:r>
      <w:r w:rsidRPr="00B41B0F">
        <w:rPr>
          <w:rFonts w:cs="Calibri"/>
          <w:bCs/>
        </w:rPr>
        <w:t>.</w:t>
      </w:r>
    </w:p>
    <w:p w14:paraId="3F519BE1" w14:textId="77777777" w:rsidR="00B41B0F" w:rsidRPr="00B41B0F" w:rsidRDefault="00B41B0F" w:rsidP="00CD1B27">
      <w:pPr>
        <w:pStyle w:val="Akapitzlist"/>
        <w:numPr>
          <w:ilvl w:val="0"/>
          <w:numId w:val="5"/>
        </w:numPr>
        <w:spacing w:after="0"/>
        <w:rPr>
          <w:rFonts w:cs="Calibri"/>
          <w:bCs/>
        </w:rPr>
      </w:pPr>
      <w:r w:rsidRPr="00B41B0F">
        <w:rPr>
          <w:rFonts w:cs="Calibri"/>
          <w:bCs/>
        </w:rPr>
        <w:t>wytrzymałość na zginanie min 35 N/mm2,</w:t>
      </w:r>
    </w:p>
    <w:p w14:paraId="38D5EFB7" w14:textId="77777777" w:rsidR="00B41B0F" w:rsidRPr="00CD1B27" w:rsidRDefault="00B41B0F" w:rsidP="00CD1B27">
      <w:pPr>
        <w:pStyle w:val="Akapitzlist"/>
        <w:numPr>
          <w:ilvl w:val="0"/>
          <w:numId w:val="5"/>
        </w:numPr>
        <w:spacing w:after="0"/>
        <w:rPr>
          <w:rFonts w:cs="Calibri"/>
          <w:bCs/>
        </w:rPr>
      </w:pPr>
      <w:r w:rsidRPr="00CD1B27">
        <w:rPr>
          <w:rFonts w:cs="Calibri"/>
          <w:bCs/>
        </w:rPr>
        <w:t>odporność na ścieranie wgłębne – max 175 mm3 materiału startego, zgodne z</w:t>
      </w:r>
      <w:r w:rsidR="00CD1B27" w:rsidRPr="00CD1B27">
        <w:rPr>
          <w:rFonts w:cs="Calibri"/>
          <w:bCs/>
        </w:rPr>
        <w:t xml:space="preserve"> </w:t>
      </w:r>
      <w:r w:rsidRPr="00CD1B27">
        <w:rPr>
          <w:rFonts w:cs="Calibri"/>
          <w:bCs/>
        </w:rPr>
        <w:t>wymaganiami PN-ISO</w:t>
      </w:r>
      <w:r w:rsidR="00CD1B27">
        <w:rPr>
          <w:rFonts w:cs="Calibri"/>
          <w:bCs/>
        </w:rPr>
        <w:t xml:space="preserve"> </w:t>
      </w:r>
      <w:r w:rsidRPr="00CD1B27">
        <w:rPr>
          <w:rFonts w:cs="Calibri"/>
          <w:bCs/>
        </w:rPr>
        <w:t xml:space="preserve">13006:2001 dla grupy </w:t>
      </w:r>
      <w:proofErr w:type="spellStart"/>
      <w:r w:rsidRPr="00CD1B27">
        <w:rPr>
          <w:rFonts w:cs="Calibri"/>
          <w:bCs/>
        </w:rPr>
        <w:t>BIa</w:t>
      </w:r>
      <w:proofErr w:type="spellEnd"/>
      <w:r w:rsidRPr="00CD1B27">
        <w:rPr>
          <w:rFonts w:cs="Calibri"/>
          <w:bCs/>
        </w:rPr>
        <w:t>.</w:t>
      </w:r>
    </w:p>
    <w:p w14:paraId="025A0551" w14:textId="77777777" w:rsidR="00B41B0F" w:rsidRPr="00B41B0F" w:rsidRDefault="00B41B0F" w:rsidP="00CD1B27">
      <w:pPr>
        <w:pStyle w:val="Akapitzlist"/>
        <w:numPr>
          <w:ilvl w:val="0"/>
          <w:numId w:val="5"/>
        </w:numPr>
        <w:spacing w:after="0"/>
        <w:rPr>
          <w:rFonts w:cs="Calibri"/>
          <w:bCs/>
        </w:rPr>
      </w:pPr>
      <w:r w:rsidRPr="00B41B0F">
        <w:rPr>
          <w:rFonts w:cs="Calibri"/>
          <w:bCs/>
        </w:rPr>
        <w:t xml:space="preserve">antypoślizgowość </w:t>
      </w:r>
      <w:r w:rsidRPr="00B41B0F">
        <w:rPr>
          <w:rFonts w:cs="Calibri"/>
          <w:bCs/>
        </w:rPr>
        <w:tab/>
        <w:t>R = 1</w:t>
      </w:r>
      <w:r w:rsidR="00BD7339">
        <w:rPr>
          <w:rFonts w:cs="Calibri"/>
          <w:bCs/>
        </w:rPr>
        <w:t>0</w:t>
      </w:r>
      <w:r w:rsidRPr="00B41B0F">
        <w:rPr>
          <w:rFonts w:cs="Calibri"/>
          <w:bCs/>
        </w:rPr>
        <w:t xml:space="preserve"> wg DIN 51130,</w:t>
      </w:r>
      <w:r w:rsidRPr="00B41B0F">
        <w:rPr>
          <w:rFonts w:cs="Calibri"/>
          <w:bCs/>
        </w:rPr>
        <w:tab/>
      </w:r>
    </w:p>
    <w:p w14:paraId="528AB2FD" w14:textId="77777777" w:rsidR="00B41B0F" w:rsidRPr="00B41B0F" w:rsidRDefault="00B41B0F" w:rsidP="00CD1B27">
      <w:pPr>
        <w:pStyle w:val="Akapitzlist"/>
        <w:numPr>
          <w:ilvl w:val="0"/>
          <w:numId w:val="5"/>
        </w:numPr>
        <w:spacing w:after="0"/>
        <w:rPr>
          <w:rFonts w:cs="Calibri"/>
          <w:bCs/>
        </w:rPr>
      </w:pPr>
      <w:r w:rsidRPr="00B41B0F">
        <w:rPr>
          <w:rFonts w:cs="Calibri"/>
          <w:bCs/>
        </w:rPr>
        <w:t>odporność na odczynniki chemiczne UA, ULA, UHA,</w:t>
      </w:r>
    </w:p>
    <w:p w14:paraId="4B9A4D35" w14:textId="7394AFAE" w:rsidR="00EE2956" w:rsidRDefault="00B41B0F" w:rsidP="0097696B">
      <w:pPr>
        <w:pStyle w:val="Akapitzlist"/>
        <w:numPr>
          <w:ilvl w:val="0"/>
          <w:numId w:val="5"/>
        </w:numPr>
        <w:spacing w:after="0"/>
        <w:jc w:val="both"/>
        <w:rPr>
          <w:rFonts w:cs="Calibri"/>
          <w:bCs/>
        </w:rPr>
      </w:pPr>
      <w:r w:rsidRPr="00B41B0F">
        <w:rPr>
          <w:rFonts w:cs="Calibri"/>
          <w:bCs/>
        </w:rPr>
        <w:t xml:space="preserve">Kolor płytek – </w:t>
      </w:r>
      <w:r w:rsidR="00EE2956">
        <w:rPr>
          <w:rFonts w:cs="Calibri"/>
          <w:bCs/>
        </w:rPr>
        <w:t>wzór imitujący beton</w:t>
      </w:r>
      <w:r w:rsidRPr="00B41B0F">
        <w:rPr>
          <w:rFonts w:cs="Calibri"/>
          <w:bCs/>
        </w:rPr>
        <w:t xml:space="preserve"> </w:t>
      </w:r>
    </w:p>
    <w:p w14:paraId="2E018774" w14:textId="218FAF26" w:rsidR="00B41B0F" w:rsidRPr="00B41B0F" w:rsidRDefault="00B41B0F" w:rsidP="0097696B">
      <w:pPr>
        <w:pStyle w:val="Akapitzlist"/>
        <w:numPr>
          <w:ilvl w:val="0"/>
          <w:numId w:val="5"/>
        </w:numPr>
        <w:spacing w:after="0"/>
        <w:jc w:val="both"/>
        <w:rPr>
          <w:rFonts w:cs="Calibri"/>
          <w:bCs/>
        </w:rPr>
      </w:pPr>
      <w:r w:rsidRPr="00B41B0F">
        <w:rPr>
          <w:rFonts w:cs="Calibri"/>
          <w:bCs/>
        </w:rPr>
        <w:t>Wymiary:</w:t>
      </w:r>
      <w:r w:rsidR="00E6261E">
        <w:rPr>
          <w:rFonts w:cs="Calibri"/>
          <w:bCs/>
        </w:rPr>
        <w:t xml:space="preserve"> </w:t>
      </w:r>
      <w:r w:rsidR="00EE2956">
        <w:rPr>
          <w:rFonts w:cs="Calibri"/>
          <w:bCs/>
        </w:rPr>
        <w:t xml:space="preserve">60x120 </w:t>
      </w:r>
      <w:proofErr w:type="spellStart"/>
      <w:r w:rsidR="00EE2956">
        <w:rPr>
          <w:rFonts w:cs="Calibri"/>
          <w:bCs/>
        </w:rPr>
        <w:t>c</w:t>
      </w:r>
      <w:r w:rsidRPr="00B41B0F">
        <w:rPr>
          <w:rFonts w:cs="Calibri"/>
          <w:bCs/>
        </w:rPr>
        <w:t>mm</w:t>
      </w:r>
      <w:proofErr w:type="spellEnd"/>
    </w:p>
    <w:p w14:paraId="0BB63B12" w14:textId="49AF13DF" w:rsidR="00B41B0F" w:rsidRPr="00B41B0F" w:rsidRDefault="00B41B0F" w:rsidP="0097696B">
      <w:pPr>
        <w:pStyle w:val="Akapitzlist"/>
        <w:numPr>
          <w:ilvl w:val="0"/>
          <w:numId w:val="5"/>
        </w:numPr>
        <w:spacing w:after="0"/>
        <w:jc w:val="both"/>
        <w:rPr>
          <w:rFonts w:cs="Calibri"/>
          <w:bCs/>
        </w:rPr>
      </w:pPr>
      <w:r w:rsidRPr="00B41B0F">
        <w:rPr>
          <w:rFonts w:cs="Calibri"/>
          <w:bCs/>
        </w:rPr>
        <w:t xml:space="preserve">Wymiary robocze powinny umożliwiać wykonanie spoiny o grubości </w:t>
      </w:r>
      <w:r w:rsidR="00EE2956">
        <w:rPr>
          <w:rFonts w:cs="Calibri"/>
          <w:bCs/>
        </w:rPr>
        <w:t xml:space="preserve">2 </w:t>
      </w:r>
      <w:r w:rsidRPr="00B41B0F">
        <w:rPr>
          <w:rFonts w:cs="Calibri"/>
          <w:bCs/>
        </w:rPr>
        <w:t xml:space="preserve">mm </w:t>
      </w:r>
    </w:p>
    <w:p w14:paraId="6904D16B" w14:textId="77777777" w:rsidR="00B41B0F" w:rsidRPr="00B41B0F" w:rsidRDefault="00B41B0F" w:rsidP="0097696B">
      <w:pPr>
        <w:pStyle w:val="Akapitzlist"/>
        <w:numPr>
          <w:ilvl w:val="0"/>
          <w:numId w:val="5"/>
        </w:numPr>
        <w:spacing w:after="0"/>
        <w:jc w:val="both"/>
        <w:rPr>
          <w:rFonts w:cs="Calibri"/>
          <w:bCs/>
        </w:rPr>
      </w:pPr>
      <w:r w:rsidRPr="00B41B0F">
        <w:rPr>
          <w:rFonts w:cs="Calibri"/>
          <w:bCs/>
        </w:rPr>
        <w:t>Dopuszcza się stosowanie jedynie płytek ceramicznych pierwszego gatunku.</w:t>
      </w:r>
    </w:p>
    <w:p w14:paraId="24DB5E6D" w14:textId="1C2DB938" w:rsidR="00B41B0F" w:rsidRPr="00B41B0F" w:rsidRDefault="00B41B0F" w:rsidP="00EE2956">
      <w:pPr>
        <w:pStyle w:val="Akapitzlist"/>
        <w:numPr>
          <w:ilvl w:val="0"/>
          <w:numId w:val="5"/>
        </w:numPr>
        <w:spacing w:after="0"/>
        <w:jc w:val="both"/>
        <w:rPr>
          <w:rFonts w:cs="Calibri"/>
          <w:bCs/>
        </w:rPr>
      </w:pPr>
      <w:r w:rsidRPr="00B41B0F">
        <w:rPr>
          <w:rFonts w:cs="Calibri"/>
          <w:bCs/>
        </w:rPr>
        <w:t xml:space="preserve">Płytki o średniej nasiąkliwości wodnej </w:t>
      </w:r>
      <w:r w:rsidR="00EE2956">
        <w:rPr>
          <w:rFonts w:cs="Calibri"/>
          <w:bCs/>
        </w:rPr>
        <w:t xml:space="preserve">6 – 10 </w:t>
      </w:r>
      <w:r w:rsidRPr="00B41B0F">
        <w:rPr>
          <w:rFonts w:cs="Calibri"/>
          <w:bCs/>
        </w:rPr>
        <w:t xml:space="preserve">%, </w:t>
      </w:r>
    </w:p>
    <w:p w14:paraId="0EC24DCC" w14:textId="77777777" w:rsidR="00B41B0F" w:rsidRPr="00B41B0F" w:rsidRDefault="00B41B0F" w:rsidP="0097696B">
      <w:pPr>
        <w:pStyle w:val="Akapitzlist"/>
        <w:numPr>
          <w:ilvl w:val="0"/>
          <w:numId w:val="5"/>
        </w:numPr>
        <w:spacing w:after="0"/>
        <w:jc w:val="both"/>
        <w:rPr>
          <w:rFonts w:cs="Calibri"/>
          <w:bCs/>
        </w:rPr>
      </w:pPr>
      <w:r w:rsidRPr="00B41B0F">
        <w:rPr>
          <w:rFonts w:cs="Calibri"/>
          <w:bCs/>
        </w:rPr>
        <w:t>Płytki ceramiczne ich opakowania powinny mieć niżej podane oznaczenia:</w:t>
      </w:r>
    </w:p>
    <w:p w14:paraId="4F2F488D" w14:textId="77777777" w:rsidR="00B41B0F" w:rsidRPr="00B41B0F" w:rsidRDefault="00B41B0F" w:rsidP="0097696B">
      <w:pPr>
        <w:pStyle w:val="Akapitzlist"/>
        <w:numPr>
          <w:ilvl w:val="0"/>
          <w:numId w:val="5"/>
        </w:numPr>
        <w:spacing w:after="0"/>
        <w:jc w:val="both"/>
        <w:rPr>
          <w:rFonts w:cs="Calibri"/>
          <w:bCs/>
        </w:rPr>
      </w:pPr>
      <w:r w:rsidRPr="00B41B0F">
        <w:rPr>
          <w:rFonts w:cs="Calibri"/>
          <w:bCs/>
        </w:rPr>
        <w:t>Znak handlowy producenta i / lub właściwy znak fabryczny i kraj pochodzenia</w:t>
      </w:r>
    </w:p>
    <w:p w14:paraId="63FF20F6" w14:textId="77777777" w:rsidR="00B41B0F" w:rsidRPr="00B41B0F" w:rsidRDefault="00B41B0F" w:rsidP="0097696B">
      <w:pPr>
        <w:pStyle w:val="Akapitzlist"/>
        <w:numPr>
          <w:ilvl w:val="0"/>
          <w:numId w:val="5"/>
        </w:numPr>
        <w:spacing w:after="0"/>
        <w:jc w:val="both"/>
        <w:rPr>
          <w:rFonts w:cs="Calibri"/>
          <w:bCs/>
        </w:rPr>
      </w:pPr>
      <w:r w:rsidRPr="00B41B0F">
        <w:rPr>
          <w:rFonts w:cs="Calibri"/>
          <w:bCs/>
        </w:rPr>
        <w:t>Gatunek – wyłącznie 1</w:t>
      </w:r>
    </w:p>
    <w:p w14:paraId="4DA0721B" w14:textId="77777777" w:rsidR="00B41B0F" w:rsidRPr="00B41B0F" w:rsidRDefault="00B41B0F" w:rsidP="0097696B">
      <w:pPr>
        <w:pStyle w:val="Akapitzlist"/>
        <w:numPr>
          <w:ilvl w:val="0"/>
          <w:numId w:val="5"/>
        </w:numPr>
        <w:spacing w:after="0"/>
        <w:jc w:val="both"/>
        <w:rPr>
          <w:rFonts w:cs="Calibri"/>
          <w:bCs/>
        </w:rPr>
      </w:pPr>
      <w:r w:rsidRPr="00B41B0F">
        <w:rPr>
          <w:rFonts w:cs="Calibri"/>
          <w:bCs/>
        </w:rPr>
        <w:t>Odpowiednia norma europejska lub krajowa</w:t>
      </w:r>
    </w:p>
    <w:p w14:paraId="1F464F80" w14:textId="77777777" w:rsidR="00B41B0F" w:rsidRPr="00B41B0F" w:rsidRDefault="00B41B0F" w:rsidP="0097696B">
      <w:pPr>
        <w:pStyle w:val="Akapitzlist"/>
        <w:numPr>
          <w:ilvl w:val="0"/>
          <w:numId w:val="5"/>
        </w:numPr>
        <w:spacing w:after="0"/>
        <w:jc w:val="both"/>
        <w:rPr>
          <w:rFonts w:cs="Calibri"/>
          <w:bCs/>
        </w:rPr>
      </w:pPr>
      <w:r w:rsidRPr="00B41B0F">
        <w:rPr>
          <w:rFonts w:cs="Calibri"/>
          <w:bCs/>
        </w:rPr>
        <w:t>Wymiar nominalny i roboczy</w:t>
      </w:r>
    </w:p>
    <w:p w14:paraId="6764A53C" w14:textId="77777777" w:rsidR="00B41B0F" w:rsidRPr="00B41B0F" w:rsidRDefault="00B41B0F" w:rsidP="0097696B">
      <w:pPr>
        <w:pStyle w:val="Akapitzlist"/>
        <w:numPr>
          <w:ilvl w:val="0"/>
          <w:numId w:val="5"/>
        </w:numPr>
        <w:spacing w:after="0"/>
        <w:jc w:val="both"/>
        <w:rPr>
          <w:rFonts w:cs="Calibri"/>
          <w:bCs/>
        </w:rPr>
      </w:pPr>
      <w:r w:rsidRPr="00B41B0F">
        <w:rPr>
          <w:rFonts w:cs="Calibri"/>
          <w:bCs/>
        </w:rPr>
        <w:t>Rodzaj powierzchni płytki (szkliwiona / nieszkliwiona)</w:t>
      </w:r>
    </w:p>
    <w:p w14:paraId="1B23D06E" w14:textId="77777777" w:rsidR="00153D8B" w:rsidRDefault="00153D8B" w:rsidP="00CE2AAE">
      <w:pPr>
        <w:spacing w:after="0"/>
        <w:jc w:val="both"/>
        <w:rPr>
          <w:rFonts w:cs="Calibri"/>
          <w:bCs/>
        </w:rPr>
      </w:pPr>
    </w:p>
    <w:p w14:paraId="47FFD970" w14:textId="77777777" w:rsidR="00EE6AA7" w:rsidRPr="00EE6AA7" w:rsidRDefault="00EE6AA7" w:rsidP="00D26A86">
      <w:pPr>
        <w:spacing w:after="0"/>
        <w:jc w:val="both"/>
        <w:rPr>
          <w:rFonts w:cs="Calibri"/>
          <w:b/>
          <w:bCs/>
        </w:rPr>
      </w:pPr>
      <w:r w:rsidRPr="00EE6AA7">
        <w:rPr>
          <w:rFonts w:cs="Calibri"/>
          <w:b/>
          <w:bCs/>
        </w:rPr>
        <w:t>Jastrych cementowy</w:t>
      </w:r>
    </w:p>
    <w:tbl>
      <w:tblPr>
        <w:tblW w:w="9214" w:type="dxa"/>
        <w:shd w:val="clear" w:color="auto" w:fill="FFFFFF"/>
        <w:tblCellMar>
          <w:top w:w="15" w:type="dxa"/>
          <w:left w:w="15" w:type="dxa"/>
          <w:bottom w:w="15" w:type="dxa"/>
          <w:right w:w="15" w:type="dxa"/>
        </w:tblCellMar>
        <w:tblLook w:val="04A0" w:firstRow="1" w:lastRow="0" w:firstColumn="1" w:lastColumn="0" w:noHBand="0" w:noVBand="1"/>
      </w:tblPr>
      <w:tblGrid>
        <w:gridCol w:w="3000"/>
        <w:gridCol w:w="6214"/>
      </w:tblGrid>
      <w:tr w:rsidR="00EE6AA7" w:rsidRPr="00EE6AA7" w14:paraId="0D7C2F27" w14:textId="77777777" w:rsidTr="00EE6AA7">
        <w:tc>
          <w:tcPr>
            <w:tcW w:w="3000" w:type="dxa"/>
            <w:shd w:val="clear" w:color="auto" w:fill="D4D4D4"/>
            <w:tcMar>
              <w:top w:w="0" w:type="dxa"/>
              <w:left w:w="0" w:type="dxa"/>
              <w:bottom w:w="0" w:type="dxa"/>
              <w:right w:w="0" w:type="dxa"/>
            </w:tcMar>
            <w:vAlign w:val="center"/>
            <w:hideMark/>
          </w:tcPr>
          <w:p w14:paraId="3D45707C" w14:textId="77777777" w:rsidR="00EE6AA7" w:rsidRPr="00EE6AA7" w:rsidRDefault="00EE6AA7" w:rsidP="00EE6AA7">
            <w:pPr>
              <w:spacing w:after="0"/>
              <w:jc w:val="both"/>
              <w:rPr>
                <w:rFonts w:cs="Calibri"/>
                <w:bCs/>
                <w:sz w:val="18"/>
              </w:rPr>
            </w:pPr>
            <w:r w:rsidRPr="00EE6AA7">
              <w:rPr>
                <w:rFonts w:cs="Calibri"/>
                <w:bCs/>
                <w:sz w:val="18"/>
              </w:rPr>
              <w:t>Klasyfikacja wg PN-EN 13813:2003</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2BF913DF" w14:textId="77777777" w:rsidR="00EE6AA7" w:rsidRPr="00EE6AA7" w:rsidRDefault="00EE6AA7" w:rsidP="00EE6AA7">
            <w:pPr>
              <w:spacing w:after="0"/>
              <w:jc w:val="both"/>
              <w:rPr>
                <w:rFonts w:cs="Calibri"/>
                <w:bCs/>
                <w:sz w:val="18"/>
              </w:rPr>
            </w:pPr>
            <w:r w:rsidRPr="00EE6AA7">
              <w:rPr>
                <w:rFonts w:cs="Calibri"/>
                <w:bCs/>
                <w:sz w:val="18"/>
              </w:rPr>
              <w:t>CT-C20-F4</w:t>
            </w:r>
          </w:p>
        </w:tc>
      </w:tr>
      <w:tr w:rsidR="00EE6AA7" w:rsidRPr="00EE6AA7" w14:paraId="09A82FDC" w14:textId="77777777" w:rsidTr="00EE6AA7">
        <w:tc>
          <w:tcPr>
            <w:tcW w:w="3000" w:type="dxa"/>
            <w:shd w:val="clear" w:color="auto" w:fill="D4D4D4"/>
            <w:tcMar>
              <w:top w:w="0" w:type="dxa"/>
              <w:left w:w="0" w:type="dxa"/>
              <w:bottom w:w="0" w:type="dxa"/>
              <w:right w:w="0" w:type="dxa"/>
            </w:tcMar>
            <w:vAlign w:val="center"/>
            <w:hideMark/>
          </w:tcPr>
          <w:p w14:paraId="7029962D" w14:textId="77777777" w:rsidR="00EE6AA7" w:rsidRPr="00EE6AA7" w:rsidRDefault="00EE6AA7" w:rsidP="00EE6AA7">
            <w:pPr>
              <w:spacing w:after="0"/>
              <w:jc w:val="both"/>
              <w:rPr>
                <w:rFonts w:cs="Calibri"/>
                <w:bCs/>
                <w:sz w:val="18"/>
              </w:rPr>
            </w:pPr>
            <w:r w:rsidRPr="00EE6AA7">
              <w:rPr>
                <w:rFonts w:cs="Calibri"/>
                <w:bCs/>
                <w:sz w:val="18"/>
              </w:rPr>
              <w:t>Czas przydatności do użycia po zarobieniu wodą</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0673203B" w14:textId="77777777" w:rsidR="00EE6AA7" w:rsidRPr="00EE6AA7" w:rsidRDefault="00EE6AA7" w:rsidP="00EE6AA7">
            <w:pPr>
              <w:spacing w:after="0"/>
              <w:jc w:val="both"/>
              <w:rPr>
                <w:rFonts w:cs="Calibri"/>
                <w:bCs/>
                <w:sz w:val="18"/>
              </w:rPr>
            </w:pPr>
            <w:r w:rsidRPr="00EE6AA7">
              <w:rPr>
                <w:rFonts w:cs="Calibri"/>
                <w:bCs/>
                <w:sz w:val="18"/>
              </w:rPr>
              <w:t>Do 60 minut</w:t>
            </w:r>
          </w:p>
        </w:tc>
      </w:tr>
      <w:tr w:rsidR="00EE6AA7" w:rsidRPr="00EE6AA7" w14:paraId="0BB3C789" w14:textId="77777777" w:rsidTr="00EE6AA7">
        <w:tc>
          <w:tcPr>
            <w:tcW w:w="3000" w:type="dxa"/>
            <w:shd w:val="clear" w:color="auto" w:fill="D4D4D4"/>
            <w:tcMar>
              <w:top w:w="0" w:type="dxa"/>
              <w:left w:w="0" w:type="dxa"/>
              <w:bottom w:w="0" w:type="dxa"/>
              <w:right w:w="0" w:type="dxa"/>
            </w:tcMar>
            <w:vAlign w:val="center"/>
            <w:hideMark/>
          </w:tcPr>
          <w:p w14:paraId="1440B5C9" w14:textId="77777777" w:rsidR="00EE6AA7" w:rsidRPr="00EE6AA7" w:rsidRDefault="00EE6AA7" w:rsidP="00EE6AA7">
            <w:pPr>
              <w:spacing w:after="0"/>
              <w:jc w:val="both"/>
              <w:rPr>
                <w:rFonts w:cs="Calibri"/>
                <w:bCs/>
                <w:sz w:val="18"/>
              </w:rPr>
            </w:pPr>
            <w:r w:rsidRPr="00EE6AA7">
              <w:rPr>
                <w:rFonts w:cs="Calibri"/>
                <w:bCs/>
                <w:sz w:val="18"/>
              </w:rPr>
              <w:t>Możliwość wchodzenia na wykonaną posadzkę</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118A8F9A" w14:textId="77777777" w:rsidR="00EE6AA7" w:rsidRPr="00EE6AA7" w:rsidRDefault="00EE6AA7" w:rsidP="00EE6AA7">
            <w:pPr>
              <w:spacing w:after="0"/>
              <w:jc w:val="both"/>
              <w:rPr>
                <w:rFonts w:cs="Calibri"/>
                <w:bCs/>
                <w:sz w:val="18"/>
              </w:rPr>
            </w:pPr>
            <w:r w:rsidRPr="00EE6AA7">
              <w:rPr>
                <w:rFonts w:cs="Calibri"/>
                <w:bCs/>
                <w:sz w:val="18"/>
              </w:rPr>
              <w:t>od 24 do 48 godzin</w:t>
            </w:r>
          </w:p>
        </w:tc>
      </w:tr>
      <w:tr w:rsidR="00EE6AA7" w:rsidRPr="00EE6AA7" w14:paraId="72831331" w14:textId="77777777" w:rsidTr="00EE6AA7">
        <w:tc>
          <w:tcPr>
            <w:tcW w:w="3000" w:type="dxa"/>
            <w:shd w:val="clear" w:color="auto" w:fill="D4D4D4"/>
            <w:tcMar>
              <w:top w:w="0" w:type="dxa"/>
              <w:left w:w="0" w:type="dxa"/>
              <w:bottom w:w="0" w:type="dxa"/>
              <w:right w:w="0" w:type="dxa"/>
            </w:tcMar>
            <w:vAlign w:val="center"/>
            <w:hideMark/>
          </w:tcPr>
          <w:p w14:paraId="0AFA9C47" w14:textId="77777777" w:rsidR="00EE6AA7" w:rsidRPr="00EE6AA7" w:rsidRDefault="00EE6AA7" w:rsidP="00EE6AA7">
            <w:pPr>
              <w:spacing w:after="0"/>
              <w:jc w:val="both"/>
              <w:rPr>
                <w:rFonts w:cs="Calibri"/>
                <w:bCs/>
                <w:sz w:val="18"/>
              </w:rPr>
            </w:pPr>
            <w:r w:rsidRPr="00EE6AA7">
              <w:rPr>
                <w:rFonts w:cs="Calibri"/>
                <w:bCs/>
                <w:sz w:val="18"/>
              </w:rPr>
              <w:t>Możliwość wykonywania dalszych prac</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4B4A0A89" w14:textId="77777777" w:rsidR="00EE6AA7" w:rsidRPr="00EE6AA7" w:rsidRDefault="00EE6AA7" w:rsidP="00EE6AA7">
            <w:pPr>
              <w:spacing w:after="0"/>
              <w:jc w:val="both"/>
              <w:rPr>
                <w:rFonts w:cs="Calibri"/>
                <w:bCs/>
                <w:sz w:val="18"/>
              </w:rPr>
            </w:pPr>
            <w:r w:rsidRPr="00EE6AA7">
              <w:rPr>
                <w:rFonts w:cs="Calibri"/>
                <w:bCs/>
                <w:sz w:val="18"/>
              </w:rPr>
              <w:t>Po 28 dniach twardnienia</w:t>
            </w:r>
          </w:p>
        </w:tc>
      </w:tr>
      <w:tr w:rsidR="00EE6AA7" w:rsidRPr="00EE6AA7" w14:paraId="65291790" w14:textId="77777777" w:rsidTr="00EE6AA7">
        <w:tc>
          <w:tcPr>
            <w:tcW w:w="3000" w:type="dxa"/>
            <w:shd w:val="clear" w:color="auto" w:fill="D4D4D4"/>
            <w:tcMar>
              <w:top w:w="0" w:type="dxa"/>
              <w:left w:w="0" w:type="dxa"/>
              <w:bottom w:w="0" w:type="dxa"/>
              <w:right w:w="0" w:type="dxa"/>
            </w:tcMar>
            <w:vAlign w:val="center"/>
            <w:hideMark/>
          </w:tcPr>
          <w:p w14:paraId="29842E72" w14:textId="77777777" w:rsidR="00EE6AA7" w:rsidRPr="00EE6AA7" w:rsidRDefault="00EE6AA7" w:rsidP="00EE6AA7">
            <w:pPr>
              <w:spacing w:after="0"/>
              <w:jc w:val="both"/>
              <w:rPr>
                <w:rFonts w:cs="Calibri"/>
                <w:bCs/>
                <w:sz w:val="18"/>
              </w:rPr>
            </w:pPr>
            <w:r w:rsidRPr="00EE6AA7">
              <w:rPr>
                <w:rFonts w:cs="Calibri"/>
                <w:bCs/>
                <w:sz w:val="18"/>
              </w:rPr>
              <w:t>Grubość warstwy</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4EF697C4" w14:textId="77777777" w:rsidR="00EE6AA7" w:rsidRPr="00EE6AA7" w:rsidRDefault="00EE6AA7" w:rsidP="00EE6AA7">
            <w:pPr>
              <w:spacing w:after="0"/>
              <w:jc w:val="both"/>
              <w:rPr>
                <w:rFonts w:cs="Calibri"/>
                <w:bCs/>
                <w:sz w:val="18"/>
              </w:rPr>
            </w:pPr>
            <w:r w:rsidRPr="00EE6AA7">
              <w:rPr>
                <w:rFonts w:cs="Calibri"/>
                <w:bCs/>
                <w:sz w:val="18"/>
              </w:rPr>
              <w:t>od 10 do 80mm</w:t>
            </w:r>
          </w:p>
        </w:tc>
      </w:tr>
      <w:tr w:rsidR="00EE6AA7" w:rsidRPr="00EE6AA7" w14:paraId="0BB6F159" w14:textId="77777777" w:rsidTr="00EE6AA7">
        <w:tc>
          <w:tcPr>
            <w:tcW w:w="3000" w:type="dxa"/>
            <w:shd w:val="clear" w:color="auto" w:fill="D4D4D4"/>
            <w:tcMar>
              <w:top w:w="0" w:type="dxa"/>
              <w:left w:w="0" w:type="dxa"/>
              <w:bottom w:w="0" w:type="dxa"/>
              <w:right w:w="0" w:type="dxa"/>
            </w:tcMar>
            <w:vAlign w:val="center"/>
            <w:hideMark/>
          </w:tcPr>
          <w:p w14:paraId="7479D596" w14:textId="77777777" w:rsidR="00EE6AA7" w:rsidRPr="00EE6AA7" w:rsidRDefault="00EE6AA7" w:rsidP="00EE6AA7">
            <w:pPr>
              <w:spacing w:after="0"/>
              <w:jc w:val="both"/>
              <w:rPr>
                <w:rFonts w:cs="Calibri"/>
                <w:bCs/>
                <w:sz w:val="18"/>
              </w:rPr>
            </w:pPr>
            <w:r w:rsidRPr="00EE6AA7">
              <w:rPr>
                <w:rFonts w:cs="Calibri"/>
                <w:bCs/>
                <w:sz w:val="18"/>
              </w:rPr>
              <w:t>Proporcje mieszania z wodą</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0103D960" w14:textId="77777777" w:rsidR="00EE6AA7" w:rsidRPr="00EE6AA7" w:rsidRDefault="00EE6AA7" w:rsidP="00EE6AA7">
            <w:pPr>
              <w:spacing w:after="0"/>
              <w:jc w:val="both"/>
              <w:rPr>
                <w:rFonts w:cs="Calibri"/>
                <w:bCs/>
                <w:sz w:val="18"/>
              </w:rPr>
            </w:pPr>
            <w:r w:rsidRPr="00EE6AA7">
              <w:rPr>
                <w:rFonts w:cs="Calibri"/>
                <w:bCs/>
                <w:sz w:val="18"/>
              </w:rPr>
              <w:t>ok.3,0 l na 25kg suchej mieszanki</w:t>
            </w:r>
          </w:p>
        </w:tc>
      </w:tr>
      <w:tr w:rsidR="00EE6AA7" w:rsidRPr="00EE6AA7" w14:paraId="355E70BB" w14:textId="77777777" w:rsidTr="00EE6AA7">
        <w:tc>
          <w:tcPr>
            <w:tcW w:w="3000" w:type="dxa"/>
            <w:shd w:val="clear" w:color="auto" w:fill="D4D4D4"/>
            <w:tcMar>
              <w:top w:w="0" w:type="dxa"/>
              <w:left w:w="0" w:type="dxa"/>
              <w:bottom w:w="0" w:type="dxa"/>
              <w:right w:w="0" w:type="dxa"/>
            </w:tcMar>
            <w:vAlign w:val="center"/>
            <w:hideMark/>
          </w:tcPr>
          <w:p w14:paraId="0455A307" w14:textId="77777777" w:rsidR="00EE6AA7" w:rsidRPr="00EE6AA7" w:rsidRDefault="00EE6AA7" w:rsidP="00EE6AA7">
            <w:pPr>
              <w:spacing w:after="0"/>
              <w:jc w:val="both"/>
              <w:rPr>
                <w:rFonts w:cs="Calibri"/>
                <w:bCs/>
                <w:sz w:val="18"/>
              </w:rPr>
            </w:pPr>
            <w:r w:rsidRPr="00EE6AA7">
              <w:rPr>
                <w:rFonts w:cs="Calibri"/>
                <w:bCs/>
                <w:sz w:val="18"/>
              </w:rPr>
              <w:t>Zużycie suchej mieszanki</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645BEB4A" w14:textId="77777777" w:rsidR="00EE6AA7" w:rsidRPr="00EE6AA7" w:rsidRDefault="00EE6AA7" w:rsidP="00EE6AA7">
            <w:pPr>
              <w:spacing w:after="0"/>
              <w:jc w:val="both"/>
              <w:rPr>
                <w:rFonts w:cs="Calibri"/>
                <w:bCs/>
                <w:sz w:val="18"/>
              </w:rPr>
            </w:pPr>
            <w:r w:rsidRPr="00EE6AA7">
              <w:rPr>
                <w:rFonts w:cs="Calibri"/>
                <w:bCs/>
                <w:sz w:val="18"/>
              </w:rPr>
              <w:t>ok. 2,0 kg/m</w:t>
            </w:r>
            <w:r w:rsidRPr="00EE6AA7">
              <w:rPr>
                <w:rFonts w:cs="Calibri"/>
                <w:bCs/>
                <w:sz w:val="18"/>
                <w:vertAlign w:val="superscript"/>
              </w:rPr>
              <w:t>2</w:t>
            </w:r>
            <w:r w:rsidRPr="00EE6AA7">
              <w:rPr>
                <w:rFonts w:cs="Calibri"/>
                <w:bCs/>
                <w:sz w:val="18"/>
              </w:rPr>
              <w:t> na 1 mm grubości warstwy zaprawy</w:t>
            </w:r>
          </w:p>
        </w:tc>
      </w:tr>
      <w:tr w:rsidR="00EE6AA7" w:rsidRPr="00EE6AA7" w14:paraId="26751E97" w14:textId="77777777" w:rsidTr="00EE6AA7">
        <w:tc>
          <w:tcPr>
            <w:tcW w:w="3000" w:type="dxa"/>
            <w:shd w:val="clear" w:color="auto" w:fill="D4D4D4"/>
            <w:tcMar>
              <w:top w:w="0" w:type="dxa"/>
              <w:left w:w="0" w:type="dxa"/>
              <w:bottom w:w="0" w:type="dxa"/>
              <w:right w:w="0" w:type="dxa"/>
            </w:tcMar>
            <w:vAlign w:val="center"/>
            <w:hideMark/>
          </w:tcPr>
          <w:p w14:paraId="031774E1" w14:textId="77777777" w:rsidR="00EE6AA7" w:rsidRPr="00EE6AA7" w:rsidRDefault="00EE6AA7" w:rsidP="00EE6AA7">
            <w:pPr>
              <w:spacing w:after="0"/>
              <w:jc w:val="both"/>
              <w:rPr>
                <w:rFonts w:cs="Calibri"/>
                <w:bCs/>
                <w:sz w:val="18"/>
              </w:rPr>
            </w:pPr>
            <w:r w:rsidRPr="00EE6AA7">
              <w:rPr>
                <w:rFonts w:cs="Calibri"/>
                <w:bCs/>
                <w:sz w:val="18"/>
              </w:rPr>
              <w:t>Zawartość rozpuszczalnego chromu VI</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35EB7F08" w14:textId="77777777" w:rsidR="00EE6AA7" w:rsidRPr="00EE6AA7" w:rsidRDefault="00EE6AA7" w:rsidP="00EE6AA7">
            <w:pPr>
              <w:spacing w:after="0"/>
              <w:jc w:val="both"/>
              <w:rPr>
                <w:rFonts w:cs="Calibri"/>
                <w:bCs/>
                <w:sz w:val="18"/>
              </w:rPr>
            </w:pPr>
            <w:r w:rsidRPr="00EE6AA7">
              <w:rPr>
                <w:rFonts w:cs="Calibri"/>
                <w:bCs/>
                <w:sz w:val="18"/>
              </w:rPr>
              <w:t>≤ 0,0002%</w:t>
            </w:r>
          </w:p>
        </w:tc>
      </w:tr>
      <w:tr w:rsidR="00EE6AA7" w:rsidRPr="00EE6AA7" w14:paraId="3D5EA068" w14:textId="77777777" w:rsidTr="00EE6AA7">
        <w:tc>
          <w:tcPr>
            <w:tcW w:w="3000" w:type="dxa"/>
            <w:shd w:val="clear" w:color="auto" w:fill="D4D4D4"/>
            <w:tcMar>
              <w:top w:w="0" w:type="dxa"/>
              <w:left w:w="0" w:type="dxa"/>
              <w:bottom w:w="0" w:type="dxa"/>
              <w:right w:w="0" w:type="dxa"/>
            </w:tcMar>
            <w:vAlign w:val="center"/>
            <w:hideMark/>
          </w:tcPr>
          <w:p w14:paraId="762358AD" w14:textId="77777777" w:rsidR="00EE6AA7" w:rsidRPr="00EE6AA7" w:rsidRDefault="00EE6AA7" w:rsidP="00EE6AA7">
            <w:pPr>
              <w:spacing w:after="0"/>
              <w:jc w:val="both"/>
              <w:rPr>
                <w:rFonts w:cs="Calibri"/>
                <w:bCs/>
                <w:sz w:val="18"/>
              </w:rPr>
            </w:pPr>
            <w:r w:rsidRPr="00EE6AA7">
              <w:rPr>
                <w:rFonts w:cs="Calibri"/>
                <w:bCs/>
                <w:sz w:val="18"/>
              </w:rPr>
              <w:t>Reakcja na ogień</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450DCC2C" w14:textId="77777777" w:rsidR="00EE6AA7" w:rsidRPr="00EE6AA7" w:rsidRDefault="00EE6AA7" w:rsidP="00EE6AA7">
            <w:pPr>
              <w:spacing w:after="0"/>
              <w:jc w:val="both"/>
              <w:rPr>
                <w:rFonts w:cs="Calibri"/>
                <w:bCs/>
                <w:sz w:val="18"/>
              </w:rPr>
            </w:pPr>
            <w:r w:rsidRPr="00EE6AA7">
              <w:rPr>
                <w:rFonts w:cs="Calibri"/>
                <w:bCs/>
                <w:sz w:val="18"/>
              </w:rPr>
              <w:t>Klasa F</w:t>
            </w:r>
          </w:p>
        </w:tc>
      </w:tr>
      <w:tr w:rsidR="00EE6AA7" w:rsidRPr="00EE6AA7" w14:paraId="62A98B15" w14:textId="77777777" w:rsidTr="00EE6AA7">
        <w:tc>
          <w:tcPr>
            <w:tcW w:w="3000" w:type="dxa"/>
            <w:shd w:val="clear" w:color="auto" w:fill="D4D4D4"/>
            <w:tcMar>
              <w:top w:w="0" w:type="dxa"/>
              <w:left w:w="0" w:type="dxa"/>
              <w:bottom w:w="0" w:type="dxa"/>
              <w:right w:w="0" w:type="dxa"/>
            </w:tcMar>
            <w:vAlign w:val="center"/>
            <w:hideMark/>
          </w:tcPr>
          <w:p w14:paraId="723C8940" w14:textId="77777777" w:rsidR="00EE6AA7" w:rsidRPr="00EE6AA7" w:rsidRDefault="00EE6AA7" w:rsidP="00EE6AA7">
            <w:pPr>
              <w:spacing w:after="0"/>
              <w:jc w:val="both"/>
              <w:rPr>
                <w:rFonts w:cs="Calibri"/>
                <w:bCs/>
                <w:sz w:val="18"/>
              </w:rPr>
            </w:pPr>
            <w:r w:rsidRPr="00EE6AA7">
              <w:rPr>
                <w:rFonts w:cs="Calibri"/>
                <w:bCs/>
                <w:sz w:val="18"/>
              </w:rPr>
              <w:t>wydzielanie substancji korozyjnych</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176A436E" w14:textId="77777777" w:rsidR="00EE6AA7" w:rsidRPr="00EE6AA7" w:rsidRDefault="00EE6AA7" w:rsidP="00EE6AA7">
            <w:pPr>
              <w:spacing w:after="0"/>
              <w:jc w:val="both"/>
              <w:rPr>
                <w:rFonts w:cs="Calibri"/>
                <w:bCs/>
                <w:sz w:val="18"/>
              </w:rPr>
            </w:pPr>
            <w:r w:rsidRPr="00EE6AA7">
              <w:rPr>
                <w:rFonts w:cs="Calibri"/>
                <w:bCs/>
                <w:sz w:val="18"/>
              </w:rPr>
              <w:t>CT</w:t>
            </w:r>
          </w:p>
        </w:tc>
      </w:tr>
      <w:tr w:rsidR="00EE6AA7" w:rsidRPr="00EE6AA7" w14:paraId="0F4FC85D" w14:textId="77777777" w:rsidTr="00EE6AA7">
        <w:tc>
          <w:tcPr>
            <w:tcW w:w="3000" w:type="dxa"/>
            <w:shd w:val="clear" w:color="auto" w:fill="D4D4D4"/>
            <w:tcMar>
              <w:top w:w="0" w:type="dxa"/>
              <w:left w:w="0" w:type="dxa"/>
              <w:bottom w:w="0" w:type="dxa"/>
              <w:right w:w="0" w:type="dxa"/>
            </w:tcMar>
            <w:vAlign w:val="center"/>
            <w:hideMark/>
          </w:tcPr>
          <w:p w14:paraId="1D498058" w14:textId="77777777" w:rsidR="00EE6AA7" w:rsidRPr="00EE6AA7" w:rsidRDefault="00EE6AA7" w:rsidP="00EE6AA7">
            <w:pPr>
              <w:spacing w:after="0"/>
              <w:jc w:val="both"/>
              <w:rPr>
                <w:rFonts w:cs="Calibri"/>
                <w:bCs/>
                <w:sz w:val="18"/>
              </w:rPr>
            </w:pPr>
            <w:r w:rsidRPr="00EE6AA7">
              <w:rPr>
                <w:rFonts w:cs="Calibri"/>
                <w:bCs/>
                <w:sz w:val="18"/>
              </w:rPr>
              <w:t>przepuszczalność wody</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27CD7009" w14:textId="77777777" w:rsidR="00EE6AA7" w:rsidRPr="00EE6AA7" w:rsidRDefault="00EE6AA7" w:rsidP="00EE6AA7">
            <w:pPr>
              <w:spacing w:after="0"/>
              <w:jc w:val="both"/>
              <w:rPr>
                <w:rFonts w:cs="Calibri"/>
                <w:bCs/>
                <w:sz w:val="18"/>
              </w:rPr>
            </w:pPr>
            <w:r w:rsidRPr="00EE6AA7">
              <w:rPr>
                <w:rFonts w:cs="Calibri"/>
                <w:bCs/>
                <w:sz w:val="18"/>
              </w:rPr>
              <w:t>NPD</w:t>
            </w:r>
          </w:p>
        </w:tc>
      </w:tr>
      <w:tr w:rsidR="00EE6AA7" w:rsidRPr="00EE6AA7" w14:paraId="72D2B2C2" w14:textId="77777777" w:rsidTr="00EE6AA7">
        <w:tc>
          <w:tcPr>
            <w:tcW w:w="3000" w:type="dxa"/>
            <w:shd w:val="clear" w:color="auto" w:fill="D4D4D4"/>
            <w:tcMar>
              <w:top w:w="0" w:type="dxa"/>
              <w:left w:w="0" w:type="dxa"/>
              <w:bottom w:w="0" w:type="dxa"/>
              <w:right w:w="0" w:type="dxa"/>
            </w:tcMar>
            <w:vAlign w:val="center"/>
            <w:hideMark/>
          </w:tcPr>
          <w:p w14:paraId="02C64904" w14:textId="77777777" w:rsidR="00EE6AA7" w:rsidRPr="00EE6AA7" w:rsidRDefault="00EE6AA7" w:rsidP="00EE6AA7">
            <w:pPr>
              <w:spacing w:after="0"/>
              <w:jc w:val="both"/>
              <w:rPr>
                <w:rFonts w:cs="Calibri"/>
                <w:bCs/>
                <w:sz w:val="18"/>
              </w:rPr>
            </w:pPr>
            <w:r w:rsidRPr="00EE6AA7">
              <w:rPr>
                <w:rFonts w:cs="Calibri"/>
                <w:bCs/>
                <w:sz w:val="18"/>
              </w:rPr>
              <w:t>Przepuszczalność pary wodnej</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0BEBDEE5" w14:textId="77777777" w:rsidR="00EE6AA7" w:rsidRPr="00EE6AA7" w:rsidRDefault="00EE6AA7" w:rsidP="00EE6AA7">
            <w:pPr>
              <w:spacing w:after="0"/>
              <w:jc w:val="both"/>
              <w:rPr>
                <w:rFonts w:cs="Calibri"/>
                <w:bCs/>
                <w:sz w:val="18"/>
              </w:rPr>
            </w:pPr>
            <w:r w:rsidRPr="00EE6AA7">
              <w:rPr>
                <w:rFonts w:cs="Calibri"/>
                <w:bCs/>
                <w:sz w:val="18"/>
              </w:rPr>
              <w:t>NPD</w:t>
            </w:r>
          </w:p>
        </w:tc>
      </w:tr>
      <w:tr w:rsidR="00EE6AA7" w:rsidRPr="00EE6AA7" w14:paraId="6D6CF9F4" w14:textId="77777777" w:rsidTr="00EE6AA7">
        <w:tc>
          <w:tcPr>
            <w:tcW w:w="3000" w:type="dxa"/>
            <w:shd w:val="clear" w:color="auto" w:fill="D4D4D4"/>
            <w:tcMar>
              <w:top w:w="0" w:type="dxa"/>
              <w:left w:w="0" w:type="dxa"/>
              <w:bottom w:w="0" w:type="dxa"/>
              <w:right w:w="0" w:type="dxa"/>
            </w:tcMar>
            <w:vAlign w:val="center"/>
            <w:hideMark/>
          </w:tcPr>
          <w:p w14:paraId="1820BCD2" w14:textId="77777777" w:rsidR="00EE6AA7" w:rsidRPr="00EE6AA7" w:rsidRDefault="00EE6AA7" w:rsidP="00EE6AA7">
            <w:pPr>
              <w:spacing w:after="0"/>
              <w:jc w:val="both"/>
              <w:rPr>
                <w:rFonts w:cs="Calibri"/>
                <w:bCs/>
                <w:sz w:val="18"/>
              </w:rPr>
            </w:pPr>
            <w:r w:rsidRPr="00EE6AA7">
              <w:rPr>
                <w:rFonts w:cs="Calibri"/>
                <w:bCs/>
                <w:sz w:val="18"/>
              </w:rPr>
              <w:t>Wytrzymałość na ściskanie</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3AF894B0" w14:textId="77777777" w:rsidR="00EE6AA7" w:rsidRPr="00EE6AA7" w:rsidRDefault="00EE6AA7" w:rsidP="00EE6AA7">
            <w:pPr>
              <w:spacing w:after="0"/>
              <w:jc w:val="both"/>
              <w:rPr>
                <w:rFonts w:cs="Calibri"/>
                <w:bCs/>
                <w:sz w:val="18"/>
              </w:rPr>
            </w:pPr>
            <w:r w:rsidRPr="00EE6AA7">
              <w:rPr>
                <w:rFonts w:cs="Calibri"/>
                <w:bCs/>
                <w:sz w:val="18"/>
              </w:rPr>
              <w:t>C20</w:t>
            </w:r>
          </w:p>
        </w:tc>
      </w:tr>
      <w:tr w:rsidR="00EE6AA7" w:rsidRPr="00EE6AA7" w14:paraId="76658E03" w14:textId="77777777" w:rsidTr="00EE6AA7">
        <w:tc>
          <w:tcPr>
            <w:tcW w:w="3000" w:type="dxa"/>
            <w:shd w:val="clear" w:color="auto" w:fill="D4D4D4"/>
            <w:tcMar>
              <w:top w:w="0" w:type="dxa"/>
              <w:left w:w="0" w:type="dxa"/>
              <w:bottom w:w="0" w:type="dxa"/>
              <w:right w:w="0" w:type="dxa"/>
            </w:tcMar>
            <w:vAlign w:val="center"/>
            <w:hideMark/>
          </w:tcPr>
          <w:p w14:paraId="08BDF390" w14:textId="77777777" w:rsidR="00EE6AA7" w:rsidRPr="00EE6AA7" w:rsidRDefault="00EE6AA7" w:rsidP="00EE6AA7">
            <w:pPr>
              <w:spacing w:after="0"/>
              <w:jc w:val="both"/>
              <w:rPr>
                <w:rFonts w:cs="Calibri"/>
                <w:bCs/>
                <w:sz w:val="18"/>
              </w:rPr>
            </w:pPr>
            <w:r w:rsidRPr="00EE6AA7">
              <w:rPr>
                <w:rFonts w:cs="Calibri"/>
                <w:bCs/>
                <w:sz w:val="18"/>
              </w:rPr>
              <w:t>wytrzymałość na zginanie</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7A35A0C5" w14:textId="77777777" w:rsidR="00EE6AA7" w:rsidRPr="00EE6AA7" w:rsidRDefault="00EE6AA7" w:rsidP="00EE6AA7">
            <w:pPr>
              <w:spacing w:after="0"/>
              <w:jc w:val="both"/>
              <w:rPr>
                <w:rFonts w:cs="Calibri"/>
                <w:bCs/>
                <w:sz w:val="18"/>
              </w:rPr>
            </w:pPr>
            <w:r w:rsidRPr="00EE6AA7">
              <w:rPr>
                <w:rFonts w:cs="Calibri"/>
                <w:bCs/>
                <w:sz w:val="18"/>
              </w:rPr>
              <w:t>F4</w:t>
            </w:r>
          </w:p>
        </w:tc>
      </w:tr>
      <w:tr w:rsidR="00EE6AA7" w:rsidRPr="00EE6AA7" w14:paraId="341AC3D3" w14:textId="77777777" w:rsidTr="00EE6AA7">
        <w:tc>
          <w:tcPr>
            <w:tcW w:w="3000" w:type="dxa"/>
            <w:shd w:val="clear" w:color="auto" w:fill="D4D4D4"/>
            <w:tcMar>
              <w:top w:w="0" w:type="dxa"/>
              <w:left w:w="0" w:type="dxa"/>
              <w:bottom w:w="0" w:type="dxa"/>
              <w:right w:w="0" w:type="dxa"/>
            </w:tcMar>
            <w:vAlign w:val="center"/>
            <w:hideMark/>
          </w:tcPr>
          <w:p w14:paraId="31061163" w14:textId="77777777" w:rsidR="00EE6AA7" w:rsidRPr="00EE6AA7" w:rsidRDefault="00EE6AA7" w:rsidP="00EE6AA7">
            <w:pPr>
              <w:spacing w:after="0"/>
              <w:jc w:val="both"/>
              <w:rPr>
                <w:rFonts w:cs="Calibri"/>
                <w:bCs/>
                <w:sz w:val="18"/>
              </w:rPr>
            </w:pPr>
            <w:r w:rsidRPr="00EE6AA7">
              <w:rPr>
                <w:rFonts w:cs="Calibri"/>
                <w:bCs/>
                <w:sz w:val="18"/>
              </w:rPr>
              <w:t>odporność na ścieranie</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50D5C606" w14:textId="77777777" w:rsidR="00EE6AA7" w:rsidRPr="00EE6AA7" w:rsidRDefault="00EE6AA7" w:rsidP="00EE6AA7">
            <w:pPr>
              <w:spacing w:after="0"/>
              <w:jc w:val="both"/>
              <w:rPr>
                <w:rFonts w:cs="Calibri"/>
                <w:bCs/>
                <w:sz w:val="18"/>
              </w:rPr>
            </w:pPr>
            <w:r w:rsidRPr="00EE6AA7">
              <w:rPr>
                <w:rFonts w:cs="Calibri"/>
                <w:bCs/>
                <w:sz w:val="18"/>
              </w:rPr>
              <w:t>NPD</w:t>
            </w:r>
          </w:p>
        </w:tc>
      </w:tr>
      <w:tr w:rsidR="00EE6AA7" w:rsidRPr="00EE6AA7" w14:paraId="1C84B4B5" w14:textId="77777777" w:rsidTr="00EE6AA7">
        <w:tc>
          <w:tcPr>
            <w:tcW w:w="3000" w:type="dxa"/>
            <w:shd w:val="clear" w:color="auto" w:fill="D4D4D4"/>
            <w:tcMar>
              <w:top w:w="0" w:type="dxa"/>
              <w:left w:w="0" w:type="dxa"/>
              <w:bottom w:w="0" w:type="dxa"/>
              <w:right w:w="0" w:type="dxa"/>
            </w:tcMar>
            <w:vAlign w:val="center"/>
            <w:hideMark/>
          </w:tcPr>
          <w:p w14:paraId="01D741DC" w14:textId="77777777" w:rsidR="00EE6AA7" w:rsidRPr="00EE6AA7" w:rsidRDefault="00EE6AA7" w:rsidP="00EE6AA7">
            <w:pPr>
              <w:spacing w:after="0"/>
              <w:jc w:val="both"/>
              <w:rPr>
                <w:rFonts w:cs="Calibri"/>
                <w:bCs/>
                <w:sz w:val="18"/>
              </w:rPr>
            </w:pPr>
            <w:r w:rsidRPr="00EE6AA7">
              <w:rPr>
                <w:rFonts w:cs="Calibri"/>
                <w:bCs/>
                <w:sz w:val="18"/>
              </w:rPr>
              <w:lastRenderedPageBreak/>
              <w:t>dźwiękochłonność</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3A063DFC" w14:textId="77777777" w:rsidR="00EE6AA7" w:rsidRPr="00EE6AA7" w:rsidRDefault="00EE6AA7" w:rsidP="00EE6AA7">
            <w:pPr>
              <w:spacing w:after="0"/>
              <w:jc w:val="both"/>
              <w:rPr>
                <w:rFonts w:cs="Calibri"/>
                <w:bCs/>
                <w:sz w:val="18"/>
              </w:rPr>
            </w:pPr>
            <w:r w:rsidRPr="00EE6AA7">
              <w:rPr>
                <w:rFonts w:cs="Calibri"/>
                <w:bCs/>
                <w:sz w:val="18"/>
              </w:rPr>
              <w:t>NPD</w:t>
            </w:r>
          </w:p>
        </w:tc>
      </w:tr>
      <w:tr w:rsidR="00EE6AA7" w:rsidRPr="00EE6AA7" w14:paraId="7B72801C" w14:textId="77777777" w:rsidTr="00EE6AA7">
        <w:tc>
          <w:tcPr>
            <w:tcW w:w="3000" w:type="dxa"/>
            <w:shd w:val="clear" w:color="auto" w:fill="D4D4D4"/>
            <w:tcMar>
              <w:top w:w="0" w:type="dxa"/>
              <w:left w:w="0" w:type="dxa"/>
              <w:bottom w:w="0" w:type="dxa"/>
              <w:right w:w="0" w:type="dxa"/>
            </w:tcMar>
            <w:vAlign w:val="center"/>
            <w:hideMark/>
          </w:tcPr>
          <w:p w14:paraId="2A154B2A" w14:textId="77777777" w:rsidR="00EE6AA7" w:rsidRPr="00EE6AA7" w:rsidRDefault="00EE6AA7" w:rsidP="00EE6AA7">
            <w:pPr>
              <w:spacing w:after="0"/>
              <w:jc w:val="both"/>
              <w:rPr>
                <w:rFonts w:cs="Calibri"/>
                <w:bCs/>
                <w:sz w:val="18"/>
              </w:rPr>
            </w:pPr>
            <w:r w:rsidRPr="00EE6AA7">
              <w:rPr>
                <w:rFonts w:cs="Calibri"/>
                <w:bCs/>
                <w:sz w:val="18"/>
              </w:rPr>
              <w:t>opór cieplny</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0DF141B5" w14:textId="77777777" w:rsidR="00EE6AA7" w:rsidRPr="00EE6AA7" w:rsidRDefault="00EE6AA7" w:rsidP="00EE6AA7">
            <w:pPr>
              <w:spacing w:after="0"/>
              <w:jc w:val="both"/>
              <w:rPr>
                <w:rFonts w:cs="Calibri"/>
                <w:bCs/>
                <w:sz w:val="18"/>
              </w:rPr>
            </w:pPr>
            <w:r w:rsidRPr="00EE6AA7">
              <w:rPr>
                <w:rFonts w:cs="Calibri"/>
                <w:bCs/>
                <w:sz w:val="18"/>
              </w:rPr>
              <w:t>NPD</w:t>
            </w:r>
          </w:p>
        </w:tc>
      </w:tr>
      <w:tr w:rsidR="00EE6AA7" w:rsidRPr="00EE6AA7" w14:paraId="26F0AF8F" w14:textId="77777777" w:rsidTr="00EE6AA7">
        <w:tc>
          <w:tcPr>
            <w:tcW w:w="3000" w:type="dxa"/>
            <w:shd w:val="clear" w:color="auto" w:fill="D4D4D4"/>
            <w:tcMar>
              <w:top w:w="0" w:type="dxa"/>
              <w:left w:w="0" w:type="dxa"/>
              <w:bottom w:w="0" w:type="dxa"/>
              <w:right w:w="0" w:type="dxa"/>
            </w:tcMar>
            <w:vAlign w:val="center"/>
            <w:hideMark/>
          </w:tcPr>
          <w:p w14:paraId="72A9BDB0" w14:textId="77777777" w:rsidR="00EE6AA7" w:rsidRPr="00EE6AA7" w:rsidRDefault="00EE6AA7" w:rsidP="00EE6AA7">
            <w:pPr>
              <w:spacing w:after="0"/>
              <w:jc w:val="both"/>
              <w:rPr>
                <w:rFonts w:cs="Calibri"/>
                <w:bCs/>
                <w:sz w:val="18"/>
              </w:rPr>
            </w:pPr>
            <w:r w:rsidRPr="00EE6AA7">
              <w:rPr>
                <w:rFonts w:cs="Calibri"/>
                <w:bCs/>
                <w:sz w:val="18"/>
              </w:rPr>
              <w:t>odporność chemiczna</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74DEEB2A" w14:textId="77777777" w:rsidR="00EE6AA7" w:rsidRPr="00EE6AA7" w:rsidRDefault="00EE6AA7" w:rsidP="00EE6AA7">
            <w:pPr>
              <w:spacing w:after="0"/>
              <w:jc w:val="both"/>
              <w:rPr>
                <w:rFonts w:cs="Calibri"/>
                <w:bCs/>
                <w:sz w:val="18"/>
              </w:rPr>
            </w:pPr>
            <w:r w:rsidRPr="00EE6AA7">
              <w:rPr>
                <w:rFonts w:cs="Calibri"/>
                <w:bCs/>
                <w:sz w:val="18"/>
              </w:rPr>
              <w:t>NPD</w:t>
            </w:r>
          </w:p>
        </w:tc>
      </w:tr>
      <w:tr w:rsidR="00EE6AA7" w:rsidRPr="00EE6AA7" w14:paraId="73DA77BB" w14:textId="77777777" w:rsidTr="00EE6AA7">
        <w:tc>
          <w:tcPr>
            <w:tcW w:w="3000" w:type="dxa"/>
            <w:shd w:val="clear" w:color="auto" w:fill="D4D4D4"/>
            <w:tcMar>
              <w:top w:w="0" w:type="dxa"/>
              <w:left w:w="0" w:type="dxa"/>
              <w:bottom w:w="0" w:type="dxa"/>
              <w:right w:w="0" w:type="dxa"/>
            </w:tcMar>
            <w:vAlign w:val="center"/>
            <w:hideMark/>
          </w:tcPr>
          <w:p w14:paraId="7A8BB9D1" w14:textId="77777777" w:rsidR="00EE6AA7" w:rsidRPr="00EE6AA7" w:rsidRDefault="00EE6AA7" w:rsidP="00EE6AA7">
            <w:pPr>
              <w:spacing w:after="0"/>
              <w:jc w:val="both"/>
              <w:rPr>
                <w:rFonts w:cs="Calibri"/>
                <w:bCs/>
                <w:sz w:val="18"/>
              </w:rPr>
            </w:pPr>
            <w:r w:rsidRPr="00EE6AA7">
              <w:rPr>
                <w:rFonts w:cs="Calibri"/>
                <w:bCs/>
                <w:sz w:val="18"/>
              </w:rPr>
              <w:t>izolacyjność akustyczna</w:t>
            </w:r>
          </w:p>
        </w:tc>
        <w:tc>
          <w:tcPr>
            <w:tcW w:w="6214" w:type="dxa"/>
            <w:tcBorders>
              <w:bottom w:val="single" w:sz="6" w:space="0" w:color="CCCCCC"/>
            </w:tcBorders>
            <w:shd w:val="clear" w:color="auto" w:fill="FFFFFF"/>
            <w:tcMar>
              <w:top w:w="90" w:type="dxa"/>
              <w:left w:w="60" w:type="dxa"/>
              <w:bottom w:w="90" w:type="dxa"/>
              <w:right w:w="60" w:type="dxa"/>
            </w:tcMar>
            <w:vAlign w:val="center"/>
            <w:hideMark/>
          </w:tcPr>
          <w:p w14:paraId="5D6481F5" w14:textId="77777777" w:rsidR="00EE6AA7" w:rsidRPr="00EE6AA7" w:rsidRDefault="00EE6AA7" w:rsidP="00EE6AA7">
            <w:pPr>
              <w:spacing w:after="0"/>
              <w:jc w:val="both"/>
              <w:rPr>
                <w:rFonts w:cs="Calibri"/>
                <w:bCs/>
                <w:sz w:val="18"/>
              </w:rPr>
            </w:pPr>
            <w:r w:rsidRPr="00EE6AA7">
              <w:rPr>
                <w:rFonts w:cs="Calibri"/>
                <w:bCs/>
                <w:sz w:val="18"/>
              </w:rPr>
              <w:t>NPD</w:t>
            </w:r>
          </w:p>
        </w:tc>
      </w:tr>
    </w:tbl>
    <w:p w14:paraId="1F303812" w14:textId="77777777" w:rsidR="00CA279B" w:rsidRDefault="00CA279B" w:rsidP="001A28D3">
      <w:pPr>
        <w:spacing w:after="0"/>
        <w:jc w:val="both"/>
        <w:rPr>
          <w:rFonts w:cs="Calibri"/>
          <w:bCs/>
        </w:rPr>
      </w:pPr>
    </w:p>
    <w:p w14:paraId="17E3DD30" w14:textId="77777777" w:rsidR="00CA279B" w:rsidRDefault="00CA279B" w:rsidP="00CA279B">
      <w:pPr>
        <w:pStyle w:val="Akapitzlist"/>
        <w:spacing w:after="0"/>
        <w:ind w:left="792"/>
        <w:jc w:val="both"/>
        <w:rPr>
          <w:rFonts w:cs="Calibri"/>
          <w:b/>
          <w:bCs/>
        </w:rPr>
      </w:pPr>
      <w:r w:rsidRPr="00C37FD7">
        <w:rPr>
          <w:rFonts w:cs="Calibri"/>
          <w:b/>
          <w:bCs/>
        </w:rPr>
        <w:t>Mieszanka betonowa</w:t>
      </w:r>
      <w:r>
        <w:rPr>
          <w:rFonts w:cs="Calibri"/>
          <w:b/>
          <w:bCs/>
        </w:rPr>
        <w:t xml:space="preserve"> dla posadzek betonowych</w:t>
      </w:r>
    </w:p>
    <w:p w14:paraId="1BA93B54" w14:textId="77777777" w:rsidR="00CA279B" w:rsidRDefault="00CA279B" w:rsidP="00CA279B">
      <w:pPr>
        <w:spacing w:after="0"/>
        <w:jc w:val="both"/>
        <w:rPr>
          <w:rFonts w:asciiTheme="minorHAnsi" w:hAnsiTheme="minorHAnsi" w:cstheme="minorHAnsi"/>
          <w:bCs/>
        </w:rPr>
      </w:pPr>
      <w:r>
        <w:rPr>
          <w:rFonts w:asciiTheme="minorHAnsi" w:hAnsiTheme="minorHAnsi" w:cstheme="minorHAnsi"/>
          <w:b/>
          <w:bCs/>
        </w:rPr>
        <w:t>Cement</w:t>
      </w:r>
      <w:r>
        <w:rPr>
          <w:rFonts w:asciiTheme="minorHAnsi" w:hAnsiTheme="minorHAnsi" w:cstheme="minorHAnsi"/>
          <w:bCs/>
        </w:rPr>
        <w:t xml:space="preserve"> pochodzący z każdej dostawy musi spełniać wymagania zawarte w normie </w:t>
      </w:r>
      <w:r>
        <w:rPr>
          <w:rStyle w:val="Pogrubienie"/>
          <w:rFonts w:asciiTheme="minorHAnsi" w:hAnsiTheme="minorHAnsi" w:cstheme="minorHAnsi"/>
          <w:color w:val="333333"/>
          <w:bdr w:val="none" w:sz="0" w:space="0" w:color="auto" w:frame="1"/>
          <w:shd w:val="clear" w:color="auto" w:fill="FFFFFF"/>
        </w:rPr>
        <w:t>wg PN-EN 206-1</w:t>
      </w:r>
      <w:r>
        <w:rPr>
          <w:rFonts w:asciiTheme="minorHAnsi" w:hAnsiTheme="minorHAnsi" w:cstheme="minorHAnsi"/>
          <w:bCs/>
        </w:rPr>
        <w:t>. Dopuszczalne jest stosowanie jedynie cementu portlandzkiego czystego (bez dodatków) klasy:</w:t>
      </w:r>
    </w:p>
    <w:p w14:paraId="4655C488" w14:textId="77777777" w:rsidR="00CA279B" w:rsidRDefault="00CA279B" w:rsidP="00CA279B">
      <w:pPr>
        <w:numPr>
          <w:ilvl w:val="1"/>
          <w:numId w:val="14"/>
        </w:numPr>
        <w:tabs>
          <w:tab w:val="num" w:pos="720"/>
        </w:tabs>
        <w:spacing w:after="0"/>
        <w:jc w:val="both"/>
        <w:rPr>
          <w:rFonts w:asciiTheme="minorHAnsi" w:hAnsiTheme="minorHAnsi" w:cstheme="minorHAnsi"/>
          <w:bCs/>
        </w:rPr>
      </w:pPr>
      <w:r>
        <w:rPr>
          <w:rFonts w:asciiTheme="minorHAnsi" w:hAnsiTheme="minorHAnsi" w:cstheme="minorHAnsi"/>
          <w:bCs/>
        </w:rPr>
        <w:t xml:space="preserve">dla betonu klasy </w:t>
      </w:r>
      <w:r>
        <w:rPr>
          <w:rFonts w:asciiTheme="minorHAnsi" w:hAnsiTheme="minorHAnsi" w:cstheme="minorHAnsi"/>
          <w:color w:val="333333"/>
          <w:shd w:val="clear" w:color="auto" w:fill="FFFFFF"/>
        </w:rPr>
        <w:t>C20/25 – C40/50</w:t>
      </w:r>
      <w:r>
        <w:rPr>
          <w:rFonts w:asciiTheme="minorHAnsi" w:hAnsiTheme="minorHAnsi" w:cstheme="minorHAnsi"/>
          <w:color w:val="333333"/>
          <w:sz w:val="18"/>
          <w:szCs w:val="18"/>
          <w:shd w:val="clear" w:color="auto" w:fill="FFFFFF"/>
        </w:rPr>
        <w:t xml:space="preserve"> </w:t>
      </w:r>
      <w:r>
        <w:rPr>
          <w:rFonts w:asciiTheme="minorHAnsi" w:hAnsiTheme="minorHAnsi" w:cstheme="minorHAnsi"/>
          <w:bCs/>
        </w:rPr>
        <w:t>– klasa cementu 42,5 NA,</w:t>
      </w:r>
    </w:p>
    <w:p w14:paraId="63616607"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Do każdej partii dostarczonego cementu musi być dołączone świadectwo jakości (atest). Każda partia dostarczonego cementu przed użyciem do wytworzenia mieszanki musi betonowej musi uzyskać akceptację inspektora nadzoru. Przed użyciem cementu do wykonania mieszanki betonowej cement powinien podlegać badaniom oznaczenia czasu wiązania i zmiany objętości wg norm PN-EN 196-1;199,PN-EN 196-3;1996, PN-EN 196-6;1997, oraz sprawdzeniu zawartości grudek.</w:t>
      </w:r>
    </w:p>
    <w:p w14:paraId="2A940578"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a)  Rodzaje cementu</w:t>
      </w:r>
    </w:p>
    <w:p w14:paraId="0BA287CA"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Dopuszczalne jest stosowanie jedynie cementu portlandzkiego czystego, tj. bez dodatków mineralnych wg normy PN-B-30000</w:t>
      </w:r>
    </w:p>
    <w:p w14:paraId="754016E3"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b)  Wymagania dotyczące składu cementu</w:t>
      </w:r>
    </w:p>
    <w:p w14:paraId="36BAFFBF"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Wg ustaleń normy PN-B-30000:1990 oraz ponadto zgodnie z zarządzeniem Ministra Komunikacji wymaga się, aby cementy te charakteryzowały się następującym składem:</w:t>
      </w:r>
    </w:p>
    <w:p w14:paraId="3EF210D6"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xml:space="preserve">- Zawartość krzemianu trójwapniowego </w:t>
      </w:r>
      <w:proofErr w:type="spellStart"/>
      <w:r>
        <w:rPr>
          <w:rFonts w:asciiTheme="minorHAnsi" w:hAnsiTheme="minorHAnsi" w:cstheme="minorHAnsi"/>
          <w:bCs/>
        </w:rPr>
        <w:t>olitu</w:t>
      </w:r>
      <w:proofErr w:type="spellEnd"/>
      <w:r>
        <w:rPr>
          <w:rFonts w:asciiTheme="minorHAnsi" w:hAnsiTheme="minorHAnsi" w:cstheme="minorHAnsi"/>
          <w:bCs/>
        </w:rPr>
        <w:t xml:space="preserve"> (C3S) 50-60%</w:t>
      </w:r>
    </w:p>
    <w:p w14:paraId="677CC266"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xml:space="preserve">- Zawartość glinianu trójwapniowego </w:t>
      </w:r>
      <w:proofErr w:type="spellStart"/>
      <w:r>
        <w:rPr>
          <w:rFonts w:asciiTheme="minorHAnsi" w:hAnsiTheme="minorHAnsi" w:cstheme="minorHAnsi"/>
          <w:bCs/>
        </w:rPr>
        <w:t>olitu</w:t>
      </w:r>
      <w:proofErr w:type="spellEnd"/>
      <w:r>
        <w:rPr>
          <w:rFonts w:asciiTheme="minorHAnsi" w:hAnsiTheme="minorHAnsi" w:cstheme="minorHAnsi"/>
          <w:bCs/>
        </w:rPr>
        <w:t xml:space="preserve"> (C3A) &lt;7%</w:t>
      </w:r>
    </w:p>
    <w:p w14:paraId="383AA908"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Zawartość alkaliów do 0,6%</w:t>
      </w:r>
    </w:p>
    <w:p w14:paraId="3D7379EA"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Zawartość alkaliów pod warunkiem zastosowania kruszywa nieaktywnego do 0,9%</w:t>
      </w:r>
    </w:p>
    <w:p w14:paraId="1218CFF7"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Zawartość C4AF+2C3A (zalecane) &lt;20%</w:t>
      </w:r>
    </w:p>
    <w:p w14:paraId="5CEEF4EB"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c)  Opakowanie</w:t>
      </w:r>
    </w:p>
    <w:p w14:paraId="5636D26E"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Cement wysyłany w opakowaniu powinien być pakowany w worki papierowe WK co najmniej trzywarstwowe wg PN-76/P-79005.</w:t>
      </w:r>
    </w:p>
    <w:p w14:paraId="1033B7DB"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Masa worka z cementem powinna wynosić 50,2 kg. Na workach powinien być umieszczony trwały, wyraźny napis zawierający następujące dane:</w:t>
      </w:r>
    </w:p>
    <w:p w14:paraId="2B2103A2"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oznaczenie</w:t>
      </w:r>
    </w:p>
    <w:p w14:paraId="2C9524BC"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nazwa wytwórni i miejscowości</w:t>
      </w:r>
    </w:p>
    <w:p w14:paraId="70AF13B0"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masa worka z cementem</w:t>
      </w:r>
    </w:p>
    <w:p w14:paraId="07934D83"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data wysyłki</w:t>
      </w:r>
    </w:p>
    <w:p w14:paraId="391156C2" w14:textId="77777777" w:rsidR="00CA279B" w:rsidRDefault="00CA279B" w:rsidP="00CA279B">
      <w:pPr>
        <w:spacing w:after="0"/>
        <w:jc w:val="both"/>
        <w:rPr>
          <w:rFonts w:asciiTheme="minorHAnsi" w:hAnsiTheme="minorHAnsi" w:cstheme="minorHAnsi"/>
          <w:bCs/>
        </w:rPr>
      </w:pPr>
      <w:r>
        <w:rPr>
          <w:rFonts w:asciiTheme="minorHAnsi" w:hAnsiTheme="minorHAnsi" w:cstheme="minorHAnsi"/>
          <w:bCs/>
        </w:rPr>
        <w:t>-  termin trwałości cementu</w:t>
      </w:r>
    </w:p>
    <w:p w14:paraId="693A24D8" w14:textId="77777777" w:rsidR="00E6261E" w:rsidRDefault="00E6261E" w:rsidP="00CA279B">
      <w:pPr>
        <w:spacing w:after="0"/>
        <w:jc w:val="both"/>
        <w:rPr>
          <w:rFonts w:asciiTheme="minorHAnsi" w:hAnsiTheme="minorHAnsi" w:cstheme="minorHAnsi"/>
          <w:bCs/>
        </w:rPr>
      </w:pPr>
    </w:p>
    <w:p w14:paraId="76A46089" w14:textId="77777777" w:rsidR="00CA279B" w:rsidRPr="00C37FD7" w:rsidRDefault="00CA279B" w:rsidP="00CA279B">
      <w:pPr>
        <w:spacing w:after="0"/>
        <w:jc w:val="both"/>
        <w:rPr>
          <w:rFonts w:cs="Calibri"/>
          <w:bCs/>
        </w:rPr>
      </w:pPr>
      <w:r w:rsidRPr="00C37FD7">
        <w:rPr>
          <w:rFonts w:cs="Calibri"/>
          <w:b/>
          <w:bCs/>
        </w:rPr>
        <w:t xml:space="preserve">Kruszywo </w:t>
      </w:r>
      <w:r w:rsidRPr="00C37FD7">
        <w:rPr>
          <w:rFonts w:cs="Calibri"/>
          <w:bCs/>
        </w:rPr>
        <w:t>– powinno się charakteryzować stałością cech fizycznych i jednorodnością uziarnienia pozwalającą na wykonanie partii betonu stałej jakości. Kruszywa grube powinny wykazywać wytrzymałość badaną na ściskanie w cylindrze zgodną z normami PN-B-06714.40. Kruszywem drobnym powinny być piaski o uziarnieniu do 2mm pochodzenia rzecznego lub kompozycja piasku rzecznego i kopalnianego uszlachetnionego.</w:t>
      </w:r>
    </w:p>
    <w:p w14:paraId="1B186175" w14:textId="77777777" w:rsidR="00CA279B" w:rsidRPr="00C37FD7" w:rsidRDefault="00CA279B" w:rsidP="00CA279B">
      <w:pPr>
        <w:spacing w:after="0"/>
        <w:jc w:val="both"/>
        <w:rPr>
          <w:rFonts w:cs="Calibri"/>
          <w:bCs/>
        </w:rPr>
      </w:pPr>
      <w:r w:rsidRPr="00C37FD7">
        <w:rPr>
          <w:rFonts w:cs="Calibri"/>
          <w:bCs/>
        </w:rPr>
        <w:t>Piasek powinien spełniać następujące wymagania:</w:t>
      </w:r>
    </w:p>
    <w:p w14:paraId="115F7862" w14:textId="77777777" w:rsidR="00CA279B" w:rsidRPr="00C37FD7" w:rsidRDefault="00CA279B" w:rsidP="00CA279B">
      <w:pPr>
        <w:numPr>
          <w:ilvl w:val="1"/>
          <w:numId w:val="14"/>
        </w:numPr>
        <w:tabs>
          <w:tab w:val="clear" w:pos="1440"/>
          <w:tab w:val="num" w:pos="1080"/>
        </w:tabs>
        <w:spacing w:after="0"/>
        <w:jc w:val="both"/>
        <w:rPr>
          <w:rFonts w:cs="Calibri"/>
          <w:bCs/>
        </w:rPr>
      </w:pPr>
      <w:r w:rsidRPr="00C37FD7">
        <w:rPr>
          <w:rFonts w:cs="Calibri"/>
          <w:bCs/>
        </w:rPr>
        <w:t>zawartość pyłów mineralnych – do 1,5%</w:t>
      </w:r>
    </w:p>
    <w:p w14:paraId="169A07E5" w14:textId="77777777" w:rsidR="00CA279B" w:rsidRPr="00C37FD7" w:rsidRDefault="00CA279B" w:rsidP="00CA279B">
      <w:pPr>
        <w:numPr>
          <w:ilvl w:val="1"/>
          <w:numId w:val="14"/>
        </w:numPr>
        <w:tabs>
          <w:tab w:val="clear" w:pos="1440"/>
          <w:tab w:val="num" w:pos="1080"/>
        </w:tabs>
        <w:spacing w:after="0"/>
        <w:jc w:val="both"/>
        <w:rPr>
          <w:rFonts w:cs="Calibri"/>
          <w:bCs/>
        </w:rPr>
      </w:pPr>
      <w:r w:rsidRPr="00C37FD7">
        <w:rPr>
          <w:rFonts w:cs="Calibri"/>
          <w:bCs/>
        </w:rPr>
        <w:lastRenderedPageBreak/>
        <w:t>związki siarki do 0,2%</w:t>
      </w:r>
    </w:p>
    <w:p w14:paraId="2E2D89D3" w14:textId="77777777" w:rsidR="00CA279B" w:rsidRPr="00C37FD7" w:rsidRDefault="00CA279B" w:rsidP="00CA279B">
      <w:pPr>
        <w:numPr>
          <w:ilvl w:val="1"/>
          <w:numId w:val="14"/>
        </w:numPr>
        <w:tabs>
          <w:tab w:val="clear" w:pos="1440"/>
          <w:tab w:val="num" w:pos="1080"/>
        </w:tabs>
        <w:spacing w:after="0"/>
        <w:jc w:val="both"/>
        <w:rPr>
          <w:rFonts w:cs="Calibri"/>
          <w:bCs/>
        </w:rPr>
      </w:pPr>
      <w:r w:rsidRPr="00C37FD7">
        <w:rPr>
          <w:rFonts w:cs="Calibri"/>
          <w:bCs/>
        </w:rPr>
        <w:t>zanieczyszczenia obce do 0,25%</w:t>
      </w:r>
    </w:p>
    <w:p w14:paraId="240D2EE2" w14:textId="77777777" w:rsidR="00CA279B" w:rsidRPr="00C37FD7" w:rsidRDefault="00CA279B" w:rsidP="00CA279B">
      <w:pPr>
        <w:numPr>
          <w:ilvl w:val="1"/>
          <w:numId w:val="14"/>
        </w:numPr>
        <w:tabs>
          <w:tab w:val="clear" w:pos="1440"/>
          <w:tab w:val="num" w:pos="1080"/>
        </w:tabs>
        <w:spacing w:after="0"/>
        <w:jc w:val="both"/>
        <w:rPr>
          <w:rFonts w:cs="Calibri"/>
          <w:bCs/>
        </w:rPr>
      </w:pPr>
      <w:r w:rsidRPr="00C37FD7">
        <w:rPr>
          <w:rFonts w:cs="Calibri"/>
          <w:bCs/>
        </w:rPr>
        <w:t>Zawartość zanieczyszczeń organicznych – nie dająca barwy ciemniejszej od wzorcowej wg normy PN-B-06714.26,</w:t>
      </w:r>
    </w:p>
    <w:p w14:paraId="28CC55AA" w14:textId="77777777" w:rsidR="00CA279B" w:rsidRPr="00C37FD7" w:rsidRDefault="00CA279B" w:rsidP="00CA279B">
      <w:pPr>
        <w:numPr>
          <w:ilvl w:val="1"/>
          <w:numId w:val="14"/>
        </w:numPr>
        <w:tabs>
          <w:tab w:val="clear" w:pos="1440"/>
          <w:tab w:val="num" w:pos="1080"/>
        </w:tabs>
        <w:spacing w:after="0"/>
        <w:jc w:val="both"/>
        <w:rPr>
          <w:rFonts w:cs="Calibri"/>
          <w:bCs/>
        </w:rPr>
      </w:pPr>
      <w:r w:rsidRPr="00C37FD7">
        <w:rPr>
          <w:rFonts w:cs="Calibri"/>
          <w:bCs/>
        </w:rPr>
        <w:t>W kruszywie drobnym nie dopuszcza się grudek gliny.</w:t>
      </w:r>
    </w:p>
    <w:p w14:paraId="41FF3220" w14:textId="77777777" w:rsidR="00CA279B" w:rsidRPr="00C37FD7" w:rsidRDefault="00CA279B" w:rsidP="00CA279B">
      <w:pPr>
        <w:spacing w:after="0"/>
        <w:jc w:val="both"/>
        <w:rPr>
          <w:rFonts w:cs="Calibri"/>
          <w:bCs/>
        </w:rPr>
      </w:pPr>
      <w:r w:rsidRPr="00C37FD7">
        <w:rPr>
          <w:rFonts w:cs="Calibri"/>
          <w:b/>
          <w:bCs/>
        </w:rPr>
        <w:t>Woda zarobowa</w:t>
      </w:r>
      <w:r w:rsidRPr="00C37FD7">
        <w:rPr>
          <w:rFonts w:cs="Calibri"/>
          <w:bCs/>
        </w:rPr>
        <w:t xml:space="preserve"> -  powinna odpowiadać wymaganiom PN-B-32250.</w:t>
      </w:r>
    </w:p>
    <w:p w14:paraId="7632C785" w14:textId="77777777" w:rsidR="00CA279B" w:rsidRPr="00C37FD7" w:rsidRDefault="00CA279B" w:rsidP="00CA279B">
      <w:pPr>
        <w:spacing w:after="0"/>
        <w:jc w:val="both"/>
        <w:rPr>
          <w:rFonts w:cs="Calibri"/>
          <w:bCs/>
        </w:rPr>
      </w:pPr>
      <w:r w:rsidRPr="00C37FD7">
        <w:rPr>
          <w:rFonts w:cs="Calibri"/>
          <w:b/>
          <w:bCs/>
        </w:rPr>
        <w:t>Domieszki i dodatki do betonu</w:t>
      </w:r>
      <w:r w:rsidRPr="00C37FD7">
        <w:rPr>
          <w:rFonts w:cs="Calibri"/>
          <w:bCs/>
        </w:rPr>
        <w:t xml:space="preserve"> – zaleca się zastosowanie do mieszanek betonowych domieszek chemicznych o działaniu:</w:t>
      </w:r>
    </w:p>
    <w:p w14:paraId="151D279D" w14:textId="77777777" w:rsidR="00CA279B" w:rsidRPr="00C37FD7" w:rsidRDefault="00CA279B" w:rsidP="00CA279B">
      <w:pPr>
        <w:numPr>
          <w:ilvl w:val="1"/>
          <w:numId w:val="14"/>
        </w:numPr>
        <w:spacing w:after="0"/>
        <w:jc w:val="both"/>
        <w:rPr>
          <w:rFonts w:cs="Calibri"/>
          <w:bCs/>
        </w:rPr>
      </w:pPr>
      <w:r w:rsidRPr="00C37FD7">
        <w:rPr>
          <w:rFonts w:cs="Calibri"/>
          <w:bCs/>
        </w:rPr>
        <w:t>napowietrzającym,</w:t>
      </w:r>
    </w:p>
    <w:p w14:paraId="1A8573E6" w14:textId="77777777" w:rsidR="00CA279B" w:rsidRPr="00C37FD7" w:rsidRDefault="00CA279B" w:rsidP="00CA279B">
      <w:pPr>
        <w:numPr>
          <w:ilvl w:val="1"/>
          <w:numId w:val="14"/>
        </w:numPr>
        <w:spacing w:after="0"/>
        <w:jc w:val="both"/>
        <w:rPr>
          <w:rFonts w:cs="Calibri"/>
          <w:bCs/>
        </w:rPr>
      </w:pPr>
      <w:r w:rsidRPr="00C37FD7">
        <w:rPr>
          <w:rFonts w:cs="Calibri"/>
          <w:bCs/>
        </w:rPr>
        <w:t>uplastyczniającym,</w:t>
      </w:r>
    </w:p>
    <w:p w14:paraId="0CBC0B6F" w14:textId="77777777" w:rsidR="00CA279B" w:rsidRPr="00C37FD7" w:rsidRDefault="00CA279B" w:rsidP="00CA279B">
      <w:pPr>
        <w:numPr>
          <w:ilvl w:val="1"/>
          <w:numId w:val="14"/>
        </w:numPr>
        <w:spacing w:after="0"/>
        <w:jc w:val="both"/>
        <w:rPr>
          <w:rFonts w:cs="Calibri"/>
          <w:bCs/>
        </w:rPr>
      </w:pPr>
      <w:r w:rsidRPr="00C37FD7">
        <w:rPr>
          <w:rFonts w:cs="Calibri"/>
          <w:bCs/>
        </w:rPr>
        <w:t>przyspieszającym lub opóźniającym wiązanie, lub o działaniu kompleksowym:</w:t>
      </w:r>
    </w:p>
    <w:p w14:paraId="250F62BD" w14:textId="77777777" w:rsidR="00CA279B" w:rsidRPr="00C37FD7" w:rsidRDefault="00CA279B" w:rsidP="00CA279B">
      <w:pPr>
        <w:numPr>
          <w:ilvl w:val="1"/>
          <w:numId w:val="14"/>
        </w:numPr>
        <w:spacing w:after="0"/>
        <w:jc w:val="both"/>
        <w:rPr>
          <w:rFonts w:cs="Calibri"/>
          <w:bCs/>
        </w:rPr>
      </w:pPr>
      <w:r w:rsidRPr="00C37FD7">
        <w:rPr>
          <w:rFonts w:cs="Calibri"/>
          <w:bCs/>
        </w:rPr>
        <w:t>napowietrzająco - uplastyczniającym,</w:t>
      </w:r>
    </w:p>
    <w:p w14:paraId="5A4BB617" w14:textId="77777777" w:rsidR="00CA279B" w:rsidRPr="00C37FD7" w:rsidRDefault="00CA279B" w:rsidP="00CA279B">
      <w:pPr>
        <w:numPr>
          <w:ilvl w:val="1"/>
          <w:numId w:val="14"/>
        </w:numPr>
        <w:spacing w:after="0"/>
        <w:jc w:val="both"/>
        <w:rPr>
          <w:rFonts w:cs="Calibri"/>
          <w:bCs/>
        </w:rPr>
      </w:pPr>
      <w:r w:rsidRPr="00C37FD7">
        <w:rPr>
          <w:rFonts w:cs="Calibri"/>
          <w:bCs/>
        </w:rPr>
        <w:t>przyspieszająco - uplastyczniającym,</w:t>
      </w:r>
    </w:p>
    <w:p w14:paraId="25956A7F" w14:textId="77777777" w:rsidR="00CA279B" w:rsidRPr="00C37FD7" w:rsidRDefault="00CA279B" w:rsidP="00CA279B">
      <w:pPr>
        <w:spacing w:after="0"/>
        <w:jc w:val="both"/>
        <w:rPr>
          <w:rFonts w:cs="Calibri"/>
          <w:bCs/>
        </w:rPr>
      </w:pPr>
      <w:r w:rsidRPr="00C37FD7">
        <w:rPr>
          <w:rFonts w:cs="Calibri"/>
          <w:bCs/>
        </w:rPr>
        <w:t>Wszystkie zastosowane domieszki muszą mieć aprobaty, wydane przez Instytut Techniki Budowlanej lub Instytut Dróg i Mostów oraz posiadać atest producenta.</w:t>
      </w:r>
    </w:p>
    <w:p w14:paraId="70235151" w14:textId="77777777" w:rsidR="00CA279B" w:rsidRPr="00C37FD7" w:rsidRDefault="00CA279B" w:rsidP="00CA279B">
      <w:pPr>
        <w:spacing w:after="0"/>
        <w:jc w:val="both"/>
        <w:rPr>
          <w:rFonts w:cs="Calibri"/>
          <w:bCs/>
        </w:rPr>
      </w:pPr>
      <w:r w:rsidRPr="00C37FD7">
        <w:rPr>
          <w:rFonts w:cs="Calibri"/>
          <w:b/>
          <w:bCs/>
        </w:rPr>
        <w:t>Beton</w:t>
      </w:r>
      <w:r w:rsidRPr="00C37FD7">
        <w:rPr>
          <w:rFonts w:cs="Calibri"/>
          <w:bCs/>
        </w:rPr>
        <w:t xml:space="preserve"> – wykorzystywany do </w:t>
      </w:r>
      <w:r w:rsidRPr="00A72673">
        <w:rPr>
          <w:rFonts w:cs="Calibri"/>
          <w:bCs/>
        </w:rPr>
        <w:t>konstrukcji</w:t>
      </w:r>
      <w:r w:rsidRPr="00C37FD7">
        <w:rPr>
          <w:rFonts w:cs="Calibri"/>
          <w:bCs/>
        </w:rPr>
        <w:t xml:space="preserve"> </w:t>
      </w:r>
      <w:r>
        <w:rPr>
          <w:rFonts w:cs="Calibri"/>
          <w:bCs/>
        </w:rPr>
        <w:t xml:space="preserve">żelbetonowych </w:t>
      </w:r>
      <w:r w:rsidRPr="00C37FD7">
        <w:rPr>
          <w:rFonts w:cs="Calibri"/>
          <w:bCs/>
        </w:rPr>
        <w:t xml:space="preserve"> musi spełniać następujące wymagania:</w:t>
      </w:r>
    </w:p>
    <w:p w14:paraId="15F37FB2" w14:textId="77777777" w:rsidR="00CA279B" w:rsidRPr="00C37FD7" w:rsidRDefault="00CA279B" w:rsidP="00CA279B">
      <w:pPr>
        <w:numPr>
          <w:ilvl w:val="1"/>
          <w:numId w:val="14"/>
        </w:numPr>
        <w:spacing w:after="0"/>
        <w:jc w:val="both"/>
        <w:rPr>
          <w:rFonts w:cs="Calibri"/>
          <w:bCs/>
        </w:rPr>
      </w:pPr>
      <w:r w:rsidRPr="00C37FD7">
        <w:rPr>
          <w:rFonts w:cs="Calibri"/>
          <w:bCs/>
        </w:rPr>
        <w:t>nasiąkliwość – do 5% badanie wg PN-B-06250,</w:t>
      </w:r>
    </w:p>
    <w:p w14:paraId="39769F77" w14:textId="77777777" w:rsidR="00CA279B" w:rsidRPr="00C37FD7" w:rsidRDefault="00CA279B" w:rsidP="00CA279B">
      <w:pPr>
        <w:numPr>
          <w:ilvl w:val="1"/>
          <w:numId w:val="14"/>
        </w:numPr>
        <w:spacing w:after="0"/>
        <w:jc w:val="both"/>
        <w:rPr>
          <w:rFonts w:cs="Calibri"/>
          <w:bCs/>
        </w:rPr>
      </w:pPr>
      <w:r w:rsidRPr="00C37FD7">
        <w:rPr>
          <w:rFonts w:cs="Calibri"/>
          <w:bCs/>
        </w:rPr>
        <w:t>mrozoodporność badanie wg PN-B-06250,</w:t>
      </w:r>
    </w:p>
    <w:p w14:paraId="16D05CDE" w14:textId="77777777" w:rsidR="00CA279B" w:rsidRPr="00C37FD7" w:rsidRDefault="00CA279B" w:rsidP="00CA279B">
      <w:pPr>
        <w:numPr>
          <w:ilvl w:val="1"/>
          <w:numId w:val="14"/>
        </w:numPr>
        <w:spacing w:after="0"/>
        <w:jc w:val="both"/>
        <w:rPr>
          <w:rFonts w:cs="Calibri"/>
          <w:bCs/>
        </w:rPr>
      </w:pPr>
      <w:r w:rsidRPr="00C37FD7">
        <w:rPr>
          <w:rFonts w:cs="Calibri"/>
          <w:bCs/>
        </w:rPr>
        <w:t xml:space="preserve">wodoszczelność – większa od 0,8Mpa (W8) </w:t>
      </w:r>
    </w:p>
    <w:p w14:paraId="528772CF" w14:textId="77777777" w:rsidR="00CA279B" w:rsidRPr="00C37FD7" w:rsidRDefault="00CA279B" w:rsidP="00CA279B">
      <w:pPr>
        <w:numPr>
          <w:ilvl w:val="1"/>
          <w:numId w:val="14"/>
        </w:numPr>
        <w:spacing w:after="0"/>
        <w:jc w:val="both"/>
        <w:rPr>
          <w:rFonts w:cs="Calibri"/>
          <w:bCs/>
        </w:rPr>
      </w:pPr>
      <w:r w:rsidRPr="00C37FD7">
        <w:rPr>
          <w:rFonts w:cs="Calibri"/>
          <w:bCs/>
        </w:rPr>
        <w:t>wskaźnik wodno-cementowy (w/c) – ma być mniejszy od 0,5.</w:t>
      </w:r>
    </w:p>
    <w:p w14:paraId="314C57F3" w14:textId="0328A1AB" w:rsidR="00CA279B" w:rsidRDefault="00CA279B" w:rsidP="00CA279B">
      <w:pPr>
        <w:spacing w:after="0"/>
        <w:jc w:val="both"/>
        <w:rPr>
          <w:rFonts w:cs="Calibri"/>
          <w:bCs/>
        </w:rPr>
      </w:pPr>
      <w:r w:rsidRPr="00C37FD7">
        <w:rPr>
          <w:rFonts w:cs="Calibri"/>
          <w:bCs/>
        </w:rPr>
        <w:t>Skład mieszanki betonowej musi być zgodny z normą PN-B-06250, tak, aby przy najmniejszej ilości wody zapewnić szczelne ułożenie mieszanki w wyniku zagęszczania przez wibrowanie.</w:t>
      </w:r>
    </w:p>
    <w:p w14:paraId="3FE07DDF" w14:textId="77777777" w:rsidR="00EE2956" w:rsidRDefault="00EE2956" w:rsidP="00EE2956">
      <w:pPr>
        <w:spacing w:after="0"/>
        <w:jc w:val="both"/>
        <w:rPr>
          <w:rFonts w:cs="Calibri"/>
          <w:b/>
          <w:bCs/>
        </w:rPr>
      </w:pPr>
      <w:r>
        <w:rPr>
          <w:rFonts w:cs="Calibri"/>
          <w:b/>
          <w:bCs/>
        </w:rPr>
        <w:t>Warstwy podkładowe, wylewka samopoziomująca.</w:t>
      </w:r>
    </w:p>
    <w:p w14:paraId="2249A35D" w14:textId="77777777" w:rsidR="00EE2956" w:rsidRDefault="00EE2956" w:rsidP="00EE2956">
      <w:pPr>
        <w:spacing w:after="0"/>
        <w:jc w:val="both"/>
        <w:rPr>
          <w:rFonts w:cs="Calibri"/>
          <w:bCs/>
        </w:rPr>
      </w:pPr>
      <w:r>
        <w:rPr>
          <w:rFonts w:cs="Calibri"/>
          <w:bCs/>
        </w:rPr>
        <w:t>Skład</w:t>
      </w:r>
    </w:p>
    <w:tbl>
      <w:tblPr>
        <w:tblStyle w:val="Tabela-Siatka"/>
        <w:tblW w:w="0" w:type="auto"/>
        <w:tblLook w:val="04A0" w:firstRow="1" w:lastRow="0" w:firstColumn="1" w:lastColumn="0" w:noHBand="0" w:noVBand="1"/>
      </w:tblPr>
      <w:tblGrid>
        <w:gridCol w:w="2303"/>
        <w:gridCol w:w="2303"/>
        <w:gridCol w:w="2303"/>
        <w:gridCol w:w="2303"/>
      </w:tblGrid>
      <w:tr w:rsidR="00EE2956" w14:paraId="701095B7" w14:textId="77777777" w:rsidTr="00313074">
        <w:tc>
          <w:tcPr>
            <w:tcW w:w="2303" w:type="dxa"/>
          </w:tcPr>
          <w:p w14:paraId="7E0CE7F8" w14:textId="77777777" w:rsidR="00EE2956" w:rsidRPr="00BF667E" w:rsidRDefault="00EE2956" w:rsidP="00313074">
            <w:pPr>
              <w:spacing w:after="0"/>
              <w:jc w:val="center"/>
              <w:rPr>
                <w:rFonts w:cs="Calibri"/>
                <w:bCs/>
              </w:rPr>
            </w:pPr>
            <w:proofErr w:type="spellStart"/>
            <w:r w:rsidRPr="00BF667E">
              <w:rPr>
                <w:rFonts w:cs="Calibri"/>
                <w:bCs/>
              </w:rPr>
              <w:t>Numery</w:t>
            </w:r>
            <w:proofErr w:type="spellEnd"/>
            <w:r w:rsidRPr="00BF667E">
              <w:rPr>
                <w:rFonts w:cs="Calibri"/>
                <w:bCs/>
              </w:rPr>
              <w:t xml:space="preserve"> :</w:t>
            </w:r>
          </w:p>
          <w:p w14:paraId="502C1658" w14:textId="77777777" w:rsidR="00EE2956" w:rsidRPr="00BF667E" w:rsidRDefault="00EE2956" w:rsidP="00313074">
            <w:pPr>
              <w:spacing w:after="0"/>
              <w:jc w:val="center"/>
              <w:rPr>
                <w:rFonts w:cs="Calibri"/>
                <w:bCs/>
              </w:rPr>
            </w:pPr>
            <w:r w:rsidRPr="00BF667E">
              <w:rPr>
                <w:rFonts w:cs="Calibri"/>
                <w:bCs/>
              </w:rPr>
              <w:t>CAS;</w:t>
            </w:r>
          </w:p>
          <w:p w14:paraId="4662148C" w14:textId="77777777" w:rsidR="00EE2956" w:rsidRDefault="00EE2956" w:rsidP="00313074">
            <w:pPr>
              <w:spacing w:after="0"/>
              <w:jc w:val="center"/>
              <w:rPr>
                <w:rFonts w:cs="Calibri"/>
                <w:bCs/>
              </w:rPr>
            </w:pPr>
            <w:r w:rsidRPr="00BF667E">
              <w:rPr>
                <w:rFonts w:cs="Calibri"/>
                <w:bCs/>
              </w:rPr>
              <w:t>EINECS</w:t>
            </w:r>
          </w:p>
        </w:tc>
        <w:tc>
          <w:tcPr>
            <w:tcW w:w="2303" w:type="dxa"/>
          </w:tcPr>
          <w:p w14:paraId="3BBB0BE3" w14:textId="77777777" w:rsidR="00EE2956" w:rsidRDefault="00EE2956" w:rsidP="00313074">
            <w:pPr>
              <w:spacing w:after="0"/>
              <w:jc w:val="center"/>
              <w:rPr>
                <w:rFonts w:cs="Calibri"/>
                <w:bCs/>
              </w:rPr>
            </w:pPr>
            <w:proofErr w:type="spellStart"/>
            <w:r w:rsidRPr="00BF667E">
              <w:rPr>
                <w:rFonts w:cs="Calibri"/>
                <w:bCs/>
              </w:rPr>
              <w:t>Oznaczenie</w:t>
            </w:r>
            <w:proofErr w:type="spellEnd"/>
            <w:r w:rsidRPr="00BF667E">
              <w:rPr>
                <w:rFonts w:cs="Calibri"/>
                <w:bCs/>
              </w:rPr>
              <w:t xml:space="preserve"> </w:t>
            </w:r>
            <w:proofErr w:type="spellStart"/>
            <w:r w:rsidRPr="00BF667E">
              <w:rPr>
                <w:rFonts w:cs="Calibri"/>
                <w:bCs/>
              </w:rPr>
              <w:t>składnika</w:t>
            </w:r>
            <w:proofErr w:type="spellEnd"/>
          </w:p>
        </w:tc>
        <w:tc>
          <w:tcPr>
            <w:tcW w:w="2303" w:type="dxa"/>
          </w:tcPr>
          <w:p w14:paraId="11C3D2D1" w14:textId="77777777" w:rsidR="00EE2956" w:rsidRDefault="00EE2956" w:rsidP="00313074">
            <w:pPr>
              <w:spacing w:after="0"/>
              <w:jc w:val="center"/>
              <w:rPr>
                <w:rFonts w:cs="Calibri"/>
                <w:bCs/>
              </w:rPr>
            </w:pPr>
            <w:proofErr w:type="spellStart"/>
            <w:r w:rsidRPr="00BF667E">
              <w:rPr>
                <w:rFonts w:cs="Calibri"/>
                <w:bCs/>
              </w:rPr>
              <w:t>Stężenie</w:t>
            </w:r>
            <w:proofErr w:type="spellEnd"/>
          </w:p>
        </w:tc>
        <w:tc>
          <w:tcPr>
            <w:tcW w:w="2303" w:type="dxa"/>
          </w:tcPr>
          <w:p w14:paraId="207B5D1E" w14:textId="77777777" w:rsidR="00EE2956" w:rsidRPr="005D610D" w:rsidRDefault="00EE2956" w:rsidP="00313074">
            <w:pPr>
              <w:spacing w:after="0"/>
              <w:jc w:val="center"/>
              <w:rPr>
                <w:rFonts w:cs="Calibri"/>
                <w:bCs/>
                <w:lang w:val="pl-PL"/>
              </w:rPr>
            </w:pPr>
            <w:r w:rsidRPr="005D610D">
              <w:rPr>
                <w:rFonts w:cs="Calibri"/>
                <w:bCs/>
                <w:lang w:val="pl-PL"/>
              </w:rPr>
              <w:t xml:space="preserve">Klasyfikacja / </w:t>
            </w:r>
          </w:p>
          <w:p w14:paraId="37AFFC6D" w14:textId="77777777" w:rsidR="00EE2956" w:rsidRPr="005D610D" w:rsidRDefault="00EE2956" w:rsidP="00313074">
            <w:pPr>
              <w:spacing w:after="0"/>
              <w:jc w:val="center"/>
              <w:rPr>
                <w:rFonts w:cs="Calibri"/>
                <w:bCs/>
                <w:lang w:val="pl-PL"/>
              </w:rPr>
            </w:pPr>
            <w:r w:rsidRPr="005D610D">
              <w:rPr>
                <w:rFonts w:cs="Calibri"/>
                <w:bCs/>
                <w:lang w:val="pl-PL"/>
              </w:rPr>
              <w:t xml:space="preserve">symbole i zwroty </w:t>
            </w:r>
          </w:p>
          <w:p w14:paraId="7573A1BC" w14:textId="77777777" w:rsidR="00EE2956" w:rsidRPr="005D610D" w:rsidRDefault="00EE2956" w:rsidP="00313074">
            <w:pPr>
              <w:spacing w:after="0"/>
              <w:jc w:val="center"/>
              <w:rPr>
                <w:rFonts w:cs="Calibri"/>
                <w:bCs/>
                <w:lang w:val="pl-PL"/>
              </w:rPr>
            </w:pPr>
            <w:r w:rsidRPr="005D610D">
              <w:rPr>
                <w:rFonts w:cs="Calibri"/>
                <w:bCs/>
                <w:lang w:val="pl-PL"/>
              </w:rPr>
              <w:t>R /</w:t>
            </w:r>
          </w:p>
        </w:tc>
      </w:tr>
      <w:tr w:rsidR="00EE2956" w14:paraId="4AED4458" w14:textId="77777777" w:rsidTr="00313074">
        <w:tc>
          <w:tcPr>
            <w:tcW w:w="2303" w:type="dxa"/>
          </w:tcPr>
          <w:p w14:paraId="474C8764" w14:textId="77777777" w:rsidR="00EE2956" w:rsidRPr="00BF667E" w:rsidRDefault="00EE2956" w:rsidP="00313074">
            <w:pPr>
              <w:spacing w:after="0"/>
              <w:jc w:val="center"/>
              <w:rPr>
                <w:rFonts w:cs="Calibri"/>
                <w:bCs/>
              </w:rPr>
            </w:pPr>
            <w:r w:rsidRPr="00BF667E">
              <w:rPr>
                <w:rFonts w:cs="Calibri"/>
                <w:bCs/>
              </w:rPr>
              <w:t xml:space="preserve">CAS; 65997-15-1 </w:t>
            </w:r>
          </w:p>
          <w:p w14:paraId="5DF2CF2F" w14:textId="77777777" w:rsidR="00EE2956" w:rsidRDefault="00EE2956" w:rsidP="00313074">
            <w:pPr>
              <w:spacing w:after="0"/>
              <w:jc w:val="center"/>
              <w:rPr>
                <w:rFonts w:cs="Calibri"/>
                <w:bCs/>
              </w:rPr>
            </w:pPr>
            <w:r w:rsidRPr="00BF667E">
              <w:rPr>
                <w:rFonts w:cs="Calibri"/>
                <w:bCs/>
              </w:rPr>
              <w:t>EINESC; 266-043-4</w:t>
            </w:r>
          </w:p>
        </w:tc>
        <w:tc>
          <w:tcPr>
            <w:tcW w:w="2303" w:type="dxa"/>
          </w:tcPr>
          <w:p w14:paraId="47031F55" w14:textId="77777777" w:rsidR="00EE2956" w:rsidRDefault="00EE2956" w:rsidP="00313074">
            <w:pPr>
              <w:spacing w:after="0"/>
              <w:jc w:val="center"/>
              <w:rPr>
                <w:rFonts w:cs="Calibri"/>
                <w:bCs/>
              </w:rPr>
            </w:pPr>
            <w:r w:rsidRPr="00BF667E">
              <w:rPr>
                <w:rFonts w:cs="Calibri"/>
                <w:bCs/>
              </w:rPr>
              <w:t xml:space="preserve">Cement </w:t>
            </w:r>
            <w:proofErr w:type="spellStart"/>
            <w:r w:rsidRPr="00BF667E">
              <w:rPr>
                <w:rFonts w:cs="Calibri"/>
                <w:bCs/>
              </w:rPr>
              <w:t>portlandzki</w:t>
            </w:r>
            <w:proofErr w:type="spellEnd"/>
          </w:p>
        </w:tc>
        <w:tc>
          <w:tcPr>
            <w:tcW w:w="2303" w:type="dxa"/>
          </w:tcPr>
          <w:p w14:paraId="5DD5D0E0" w14:textId="77777777" w:rsidR="00EE2956" w:rsidRDefault="00EE2956" w:rsidP="00313074">
            <w:pPr>
              <w:spacing w:after="0"/>
              <w:jc w:val="center"/>
              <w:rPr>
                <w:rFonts w:cs="Calibri"/>
                <w:bCs/>
              </w:rPr>
            </w:pPr>
            <w:r w:rsidRPr="00BF667E">
              <w:rPr>
                <w:rFonts w:cs="Calibri"/>
                <w:bCs/>
              </w:rPr>
              <w:t>50 -60 %</w:t>
            </w:r>
          </w:p>
        </w:tc>
        <w:tc>
          <w:tcPr>
            <w:tcW w:w="2303" w:type="dxa"/>
          </w:tcPr>
          <w:p w14:paraId="6EBB08C6" w14:textId="77777777" w:rsidR="00EE2956" w:rsidRPr="00BF667E" w:rsidRDefault="00EE2956" w:rsidP="00313074">
            <w:pPr>
              <w:spacing w:after="0"/>
              <w:jc w:val="center"/>
              <w:rPr>
                <w:rFonts w:cs="Calibri"/>
                <w:bCs/>
              </w:rPr>
            </w:pPr>
            <w:r w:rsidRPr="00BF667E">
              <w:rPr>
                <w:rFonts w:cs="Calibri"/>
                <w:bCs/>
              </w:rPr>
              <w:t>Xi</w:t>
            </w:r>
          </w:p>
          <w:p w14:paraId="184C873F" w14:textId="77777777" w:rsidR="00EE2956" w:rsidRDefault="00EE2956" w:rsidP="00313074">
            <w:pPr>
              <w:spacing w:after="0"/>
              <w:jc w:val="center"/>
              <w:rPr>
                <w:rFonts w:cs="Calibri"/>
                <w:bCs/>
              </w:rPr>
            </w:pPr>
            <w:r w:rsidRPr="00BF667E">
              <w:rPr>
                <w:rFonts w:cs="Calibri"/>
                <w:bCs/>
              </w:rPr>
              <w:t>R 36/37/38-43</w:t>
            </w:r>
          </w:p>
        </w:tc>
      </w:tr>
      <w:tr w:rsidR="00EE2956" w14:paraId="5DA7E581" w14:textId="77777777" w:rsidTr="00313074">
        <w:tc>
          <w:tcPr>
            <w:tcW w:w="2303" w:type="dxa"/>
          </w:tcPr>
          <w:p w14:paraId="0B63B040" w14:textId="77777777" w:rsidR="00EE2956" w:rsidRPr="00BF667E" w:rsidRDefault="00EE2956" w:rsidP="00313074">
            <w:pPr>
              <w:spacing w:after="0"/>
              <w:jc w:val="center"/>
              <w:rPr>
                <w:rFonts w:cs="Calibri"/>
                <w:bCs/>
              </w:rPr>
            </w:pPr>
            <w:r w:rsidRPr="00BF667E">
              <w:rPr>
                <w:rFonts w:cs="Calibri"/>
                <w:bCs/>
              </w:rPr>
              <w:t xml:space="preserve">CAS; 1305-62-0 </w:t>
            </w:r>
          </w:p>
          <w:p w14:paraId="0A6D3748" w14:textId="77777777" w:rsidR="00EE2956" w:rsidRDefault="00EE2956" w:rsidP="00313074">
            <w:pPr>
              <w:spacing w:after="0"/>
              <w:jc w:val="center"/>
              <w:rPr>
                <w:rFonts w:cs="Calibri"/>
                <w:bCs/>
              </w:rPr>
            </w:pPr>
            <w:r w:rsidRPr="00BF667E">
              <w:rPr>
                <w:rFonts w:cs="Calibri"/>
                <w:bCs/>
              </w:rPr>
              <w:t>EINECS; 215-137-3</w:t>
            </w:r>
          </w:p>
        </w:tc>
        <w:tc>
          <w:tcPr>
            <w:tcW w:w="2303" w:type="dxa"/>
          </w:tcPr>
          <w:p w14:paraId="1AEE8932" w14:textId="77777777" w:rsidR="00EE2956" w:rsidRDefault="00EE2956" w:rsidP="00313074">
            <w:pPr>
              <w:spacing w:after="0"/>
              <w:jc w:val="center"/>
              <w:rPr>
                <w:rFonts w:cs="Calibri"/>
                <w:bCs/>
              </w:rPr>
            </w:pPr>
            <w:proofErr w:type="spellStart"/>
            <w:r>
              <w:rPr>
                <w:rFonts w:cs="Calibri"/>
                <w:bCs/>
              </w:rPr>
              <w:t>Wapno</w:t>
            </w:r>
            <w:proofErr w:type="spellEnd"/>
            <w:r>
              <w:rPr>
                <w:rFonts w:cs="Calibri"/>
                <w:bCs/>
              </w:rPr>
              <w:t xml:space="preserve"> </w:t>
            </w:r>
            <w:proofErr w:type="spellStart"/>
            <w:r>
              <w:rPr>
                <w:rFonts w:cs="Calibri"/>
                <w:bCs/>
              </w:rPr>
              <w:t>hydratyzowane</w:t>
            </w:r>
            <w:proofErr w:type="spellEnd"/>
            <w:r>
              <w:rPr>
                <w:rFonts w:cs="Calibri"/>
                <w:bCs/>
              </w:rPr>
              <w:t xml:space="preserve"> </w:t>
            </w:r>
            <w:proofErr w:type="spellStart"/>
            <w:r>
              <w:rPr>
                <w:rFonts w:cs="Calibri"/>
                <w:bCs/>
              </w:rPr>
              <w:t>sucho</w:t>
            </w:r>
            <w:proofErr w:type="spellEnd"/>
            <w:r>
              <w:rPr>
                <w:rFonts w:cs="Calibri"/>
                <w:bCs/>
              </w:rPr>
              <w:t xml:space="preserve"> </w:t>
            </w:r>
            <w:proofErr w:type="spellStart"/>
            <w:r w:rsidRPr="00BF667E">
              <w:rPr>
                <w:rFonts w:cs="Calibri"/>
                <w:bCs/>
              </w:rPr>
              <w:t>gaszone</w:t>
            </w:r>
            <w:proofErr w:type="spellEnd"/>
          </w:p>
        </w:tc>
        <w:tc>
          <w:tcPr>
            <w:tcW w:w="2303" w:type="dxa"/>
          </w:tcPr>
          <w:p w14:paraId="4C11F3F1" w14:textId="77777777" w:rsidR="00EE2956" w:rsidRDefault="00EE2956" w:rsidP="00313074">
            <w:pPr>
              <w:spacing w:after="0"/>
              <w:jc w:val="center"/>
              <w:rPr>
                <w:rFonts w:cs="Calibri"/>
                <w:bCs/>
              </w:rPr>
            </w:pPr>
            <w:r w:rsidRPr="00BF667E">
              <w:rPr>
                <w:rFonts w:cs="Calibri"/>
                <w:bCs/>
              </w:rPr>
              <w:t>1-3 %</w:t>
            </w:r>
          </w:p>
        </w:tc>
        <w:tc>
          <w:tcPr>
            <w:tcW w:w="2303" w:type="dxa"/>
          </w:tcPr>
          <w:p w14:paraId="67C847E7" w14:textId="77777777" w:rsidR="00EE2956" w:rsidRPr="00BF667E" w:rsidRDefault="00EE2956" w:rsidP="00313074">
            <w:pPr>
              <w:spacing w:after="0"/>
              <w:jc w:val="center"/>
              <w:rPr>
                <w:rFonts w:cs="Calibri"/>
                <w:bCs/>
              </w:rPr>
            </w:pPr>
            <w:r w:rsidRPr="00BF667E">
              <w:rPr>
                <w:rFonts w:cs="Calibri"/>
                <w:bCs/>
              </w:rPr>
              <w:t xml:space="preserve">Xi </w:t>
            </w:r>
          </w:p>
          <w:p w14:paraId="097B6394" w14:textId="77777777" w:rsidR="00EE2956" w:rsidRDefault="00EE2956" w:rsidP="00313074">
            <w:pPr>
              <w:spacing w:after="0"/>
              <w:jc w:val="center"/>
              <w:rPr>
                <w:rFonts w:cs="Calibri"/>
                <w:bCs/>
              </w:rPr>
            </w:pPr>
            <w:r w:rsidRPr="00BF667E">
              <w:rPr>
                <w:rFonts w:cs="Calibri"/>
                <w:bCs/>
              </w:rPr>
              <w:t>R 37/38-41</w:t>
            </w:r>
          </w:p>
        </w:tc>
      </w:tr>
    </w:tbl>
    <w:p w14:paraId="0D1C5D4F" w14:textId="77777777" w:rsidR="00EE2956" w:rsidRDefault="00EE2956" w:rsidP="00EE2956">
      <w:pPr>
        <w:spacing w:after="0"/>
        <w:jc w:val="both"/>
        <w:rPr>
          <w:rFonts w:cs="Calibri"/>
          <w:bCs/>
        </w:rPr>
      </w:pPr>
    </w:p>
    <w:p w14:paraId="14345234" w14:textId="77777777" w:rsidR="00EE2956" w:rsidRPr="00BF667E" w:rsidRDefault="00EE2956" w:rsidP="00EE2956">
      <w:pPr>
        <w:spacing w:after="0"/>
        <w:jc w:val="both"/>
        <w:rPr>
          <w:rFonts w:cs="Calibri"/>
          <w:bCs/>
        </w:rPr>
      </w:pPr>
      <w:r w:rsidRPr="00BF667E">
        <w:rPr>
          <w:rFonts w:cs="Calibri"/>
          <w:bCs/>
        </w:rPr>
        <w:t>Właściwości fizyczne i chemiczne;</w:t>
      </w:r>
    </w:p>
    <w:p w14:paraId="364258B4" w14:textId="77777777" w:rsidR="00EE2956" w:rsidRPr="00BF667E" w:rsidRDefault="00EE2956" w:rsidP="00EE2956">
      <w:pPr>
        <w:spacing w:after="0"/>
        <w:jc w:val="both"/>
        <w:rPr>
          <w:rFonts w:cs="Calibri"/>
          <w:bCs/>
        </w:rPr>
      </w:pPr>
      <w:r w:rsidRPr="00BF667E">
        <w:rPr>
          <w:rFonts w:cs="Calibri"/>
          <w:bCs/>
        </w:rPr>
        <w:t xml:space="preserve">Stan skupienia - proszek </w:t>
      </w:r>
    </w:p>
    <w:p w14:paraId="2A51B3A1" w14:textId="77777777" w:rsidR="00EE2956" w:rsidRPr="00BF667E" w:rsidRDefault="00EE2956" w:rsidP="00EE2956">
      <w:pPr>
        <w:spacing w:after="0"/>
        <w:jc w:val="both"/>
        <w:rPr>
          <w:rFonts w:cs="Calibri"/>
          <w:bCs/>
        </w:rPr>
      </w:pPr>
      <w:r w:rsidRPr="00BF667E">
        <w:rPr>
          <w:rFonts w:cs="Calibri"/>
          <w:bCs/>
        </w:rPr>
        <w:t xml:space="preserve">Kolor - szary </w:t>
      </w:r>
    </w:p>
    <w:p w14:paraId="1B64F0D8" w14:textId="77777777" w:rsidR="00EE2956" w:rsidRPr="00BF667E" w:rsidRDefault="00EE2956" w:rsidP="00EE2956">
      <w:pPr>
        <w:spacing w:after="0"/>
        <w:jc w:val="both"/>
        <w:rPr>
          <w:rFonts w:cs="Calibri"/>
          <w:bCs/>
        </w:rPr>
      </w:pPr>
      <w:r w:rsidRPr="00BF667E">
        <w:rPr>
          <w:rFonts w:cs="Calibri"/>
          <w:bCs/>
        </w:rPr>
        <w:t xml:space="preserve">Zapach - neutralny </w:t>
      </w:r>
    </w:p>
    <w:p w14:paraId="0A7861A5" w14:textId="77777777" w:rsidR="00EE2956" w:rsidRPr="00BF667E" w:rsidRDefault="00EE2956" w:rsidP="00EE2956">
      <w:pPr>
        <w:spacing w:after="0"/>
        <w:jc w:val="both"/>
        <w:rPr>
          <w:rFonts w:cs="Calibri"/>
          <w:bCs/>
        </w:rPr>
      </w:pPr>
      <w:proofErr w:type="spellStart"/>
      <w:r w:rsidRPr="00BF667E">
        <w:rPr>
          <w:rFonts w:cs="Calibri"/>
          <w:bCs/>
        </w:rPr>
        <w:t>pH</w:t>
      </w:r>
      <w:proofErr w:type="spellEnd"/>
      <w:r w:rsidRPr="00BF667E">
        <w:rPr>
          <w:rFonts w:cs="Calibri"/>
          <w:bCs/>
        </w:rPr>
        <w:t xml:space="preserve"> - około 12 (wodny roztwór w T 200C)</w:t>
      </w:r>
    </w:p>
    <w:p w14:paraId="47469BE2" w14:textId="77777777" w:rsidR="00EE2956" w:rsidRPr="00BF667E" w:rsidRDefault="00EE2956" w:rsidP="00EE2956">
      <w:pPr>
        <w:spacing w:after="0"/>
        <w:jc w:val="both"/>
        <w:rPr>
          <w:rFonts w:cs="Calibri"/>
          <w:bCs/>
        </w:rPr>
      </w:pPr>
      <w:r w:rsidRPr="00BF667E">
        <w:rPr>
          <w:rFonts w:cs="Calibri"/>
          <w:bCs/>
        </w:rPr>
        <w:t xml:space="preserve">Temperatura zapłonu - preparat nie palny </w:t>
      </w:r>
    </w:p>
    <w:p w14:paraId="7AD6F5A1" w14:textId="77777777" w:rsidR="00EE2956" w:rsidRPr="00BF667E" w:rsidRDefault="00EE2956" w:rsidP="00EE2956">
      <w:pPr>
        <w:spacing w:after="0"/>
        <w:jc w:val="both"/>
        <w:rPr>
          <w:rFonts w:cs="Calibri"/>
          <w:bCs/>
        </w:rPr>
      </w:pPr>
      <w:r w:rsidRPr="00BF667E">
        <w:rPr>
          <w:rFonts w:cs="Calibri"/>
          <w:bCs/>
        </w:rPr>
        <w:t xml:space="preserve">Temperatura samozapłonu - preparat nie ulega samozapłonowi, </w:t>
      </w:r>
    </w:p>
    <w:p w14:paraId="239A1B19" w14:textId="77777777" w:rsidR="00EE2956" w:rsidRPr="00BF667E" w:rsidRDefault="00EE2956" w:rsidP="00EE2956">
      <w:pPr>
        <w:spacing w:after="0"/>
        <w:jc w:val="both"/>
        <w:rPr>
          <w:rFonts w:cs="Calibri"/>
          <w:bCs/>
        </w:rPr>
      </w:pPr>
      <w:r w:rsidRPr="00BF667E">
        <w:rPr>
          <w:rFonts w:cs="Calibri"/>
          <w:bCs/>
        </w:rPr>
        <w:t xml:space="preserve">Gęstość nasypowa - około 1,1 kg/dm³ </w:t>
      </w:r>
    </w:p>
    <w:p w14:paraId="6A0E606D" w14:textId="77777777" w:rsidR="00EE2956" w:rsidRDefault="00EE2956" w:rsidP="00EE2956">
      <w:pPr>
        <w:spacing w:after="0"/>
        <w:jc w:val="both"/>
        <w:rPr>
          <w:rFonts w:cs="Calibri"/>
          <w:bCs/>
        </w:rPr>
      </w:pPr>
      <w:r w:rsidRPr="00BF667E">
        <w:rPr>
          <w:rFonts w:cs="Calibri"/>
          <w:bCs/>
        </w:rPr>
        <w:t>Rozpuszczalność - nie rozpuszczalny w wodzie</w:t>
      </w:r>
    </w:p>
    <w:p w14:paraId="4F70041B" w14:textId="77777777" w:rsidR="00EE2956" w:rsidRPr="00D26A86" w:rsidRDefault="00EE2956" w:rsidP="00EE2956">
      <w:pPr>
        <w:spacing w:after="0"/>
        <w:jc w:val="both"/>
        <w:rPr>
          <w:rFonts w:cs="Calibri"/>
          <w:b/>
          <w:bCs/>
        </w:rPr>
      </w:pPr>
      <w:r w:rsidRPr="00D26A86">
        <w:rPr>
          <w:rFonts w:cs="Calibri"/>
          <w:b/>
          <w:bCs/>
        </w:rPr>
        <w:t>Klej montażowy</w:t>
      </w:r>
    </w:p>
    <w:p w14:paraId="48CEC821" w14:textId="36B79753" w:rsidR="00EE2956" w:rsidRDefault="00EE2956" w:rsidP="00EE2956">
      <w:pPr>
        <w:spacing w:after="0"/>
        <w:jc w:val="both"/>
        <w:rPr>
          <w:rFonts w:cs="Calibri"/>
          <w:bCs/>
        </w:rPr>
      </w:pPr>
      <w:r w:rsidRPr="00D26A86">
        <w:rPr>
          <w:rFonts w:cs="Calibri"/>
          <w:bCs/>
        </w:rPr>
        <w:t>Należy zastosować klej wskazany przez producenta klejonego materiału (wykładzin i listew przyściennych).</w:t>
      </w:r>
    </w:p>
    <w:p w14:paraId="58D6DC91" w14:textId="77777777" w:rsidR="00CA279B" w:rsidRDefault="00CA279B" w:rsidP="001A28D3">
      <w:pPr>
        <w:spacing w:after="0"/>
        <w:jc w:val="both"/>
        <w:rPr>
          <w:rFonts w:cs="Calibri"/>
          <w:bCs/>
        </w:rPr>
      </w:pPr>
    </w:p>
    <w:p w14:paraId="45D897F8" w14:textId="77777777" w:rsidR="00D26A86" w:rsidRPr="00D26A86" w:rsidRDefault="00D26A86" w:rsidP="0097696B">
      <w:pPr>
        <w:pStyle w:val="Akapitzlist"/>
        <w:numPr>
          <w:ilvl w:val="0"/>
          <w:numId w:val="1"/>
        </w:numPr>
        <w:spacing w:after="0"/>
        <w:jc w:val="both"/>
        <w:rPr>
          <w:rFonts w:cs="Calibri"/>
          <w:b/>
          <w:bCs/>
        </w:rPr>
      </w:pPr>
      <w:r w:rsidRPr="00D26A86">
        <w:rPr>
          <w:rFonts w:cs="Calibri"/>
          <w:b/>
          <w:bCs/>
        </w:rPr>
        <w:lastRenderedPageBreak/>
        <w:t>SPRZĘT</w:t>
      </w:r>
    </w:p>
    <w:p w14:paraId="214AD126" w14:textId="77777777" w:rsidR="00D26A86" w:rsidRPr="00D26A86" w:rsidRDefault="00D26A86" w:rsidP="0097696B">
      <w:pPr>
        <w:pStyle w:val="Akapitzlist"/>
        <w:numPr>
          <w:ilvl w:val="1"/>
          <w:numId w:val="1"/>
        </w:numPr>
        <w:spacing w:after="0"/>
        <w:jc w:val="both"/>
        <w:rPr>
          <w:rFonts w:cs="Calibri"/>
          <w:b/>
          <w:bCs/>
        </w:rPr>
      </w:pPr>
      <w:r w:rsidRPr="00D26A86">
        <w:rPr>
          <w:rFonts w:cs="Calibri"/>
          <w:b/>
          <w:bCs/>
        </w:rPr>
        <w:t>Ogólne wymagania dotyczące sprzętu</w:t>
      </w:r>
    </w:p>
    <w:p w14:paraId="4E46604B" w14:textId="77777777" w:rsidR="00D26A86" w:rsidRPr="00D26A86" w:rsidRDefault="00D26A86" w:rsidP="00D26A86">
      <w:pPr>
        <w:spacing w:after="0"/>
        <w:jc w:val="both"/>
        <w:rPr>
          <w:rFonts w:cs="Calibri"/>
          <w:bCs/>
        </w:rPr>
      </w:pPr>
      <w:r w:rsidRPr="00D26A86">
        <w:rPr>
          <w:rFonts w:cs="Calibri"/>
          <w:bCs/>
        </w:rPr>
        <w:t>Ogólne wymagania dotyczące sprzętu podano w „Wymaganiach ogólnych”.</w:t>
      </w:r>
    </w:p>
    <w:p w14:paraId="7CE8EDA4" w14:textId="77777777" w:rsidR="00D26A86" w:rsidRPr="00D26A86" w:rsidRDefault="00D26A86" w:rsidP="00D26A86">
      <w:pPr>
        <w:spacing w:after="0"/>
        <w:jc w:val="both"/>
        <w:rPr>
          <w:rFonts w:cs="Calibri"/>
          <w:bCs/>
        </w:rPr>
      </w:pPr>
      <w:r w:rsidRPr="00D26A86">
        <w:rPr>
          <w:rFonts w:cs="Calibri"/>
          <w:bCs/>
        </w:rPr>
        <w:t>Wykonawca przystępujący do wykonania prac winien wykazać się możliwością korzystania z maszyn i sprzętu gwarantujących właściwą, to jest spełniającą wymagania specyfikacji technicznej jakość robót.</w:t>
      </w:r>
    </w:p>
    <w:p w14:paraId="0EF1A8F6" w14:textId="77777777" w:rsidR="00D26A86" w:rsidRPr="00D26A86" w:rsidRDefault="00D26A86" w:rsidP="00D26A86">
      <w:pPr>
        <w:spacing w:after="0"/>
        <w:jc w:val="both"/>
        <w:rPr>
          <w:rFonts w:cs="Calibri"/>
          <w:bCs/>
        </w:rPr>
      </w:pPr>
      <w:r w:rsidRPr="00D26A86">
        <w:rPr>
          <w:rFonts w:cs="Calibri"/>
          <w:bCs/>
        </w:rPr>
        <w:t xml:space="preserve">Wykonawca jest zobowiązany do używania jedynie takiego sprzętu, który nie spowoduje niekorzystnego wpływu na jakość wykonywanych prac, zarówno w miejscu tych prac, jak też przy wykonywaniu czynności pomocniczych oraz w czasie </w:t>
      </w:r>
      <w:r w:rsidR="00E6261E" w:rsidRPr="00D26A86">
        <w:rPr>
          <w:rFonts w:cs="Calibri"/>
          <w:bCs/>
        </w:rPr>
        <w:t>transportu, załadunku</w:t>
      </w:r>
      <w:r w:rsidRPr="00D26A86">
        <w:rPr>
          <w:rFonts w:cs="Calibri"/>
          <w:bCs/>
        </w:rPr>
        <w:br/>
        <w:t xml:space="preserve">i wyładunku materiałów, sprzętu itp. </w:t>
      </w:r>
    </w:p>
    <w:p w14:paraId="67EBACEC" w14:textId="77777777" w:rsidR="00D26A86" w:rsidRPr="00D26A86" w:rsidRDefault="00D26A86" w:rsidP="00D26A86">
      <w:pPr>
        <w:spacing w:after="0"/>
        <w:jc w:val="both"/>
        <w:rPr>
          <w:rFonts w:cs="Calibri"/>
          <w:bCs/>
        </w:rPr>
      </w:pPr>
      <w:r w:rsidRPr="00D26A86">
        <w:rPr>
          <w:rFonts w:cs="Calibri"/>
          <w:bCs/>
        </w:rPr>
        <w:t xml:space="preserve">Wykonawca chcący przystąpić do robót przewidzianych niniejszą specyfikacją musi wykazać się co najmniej dysponowaniem poniższym sprzętem i maszynami: </w:t>
      </w:r>
    </w:p>
    <w:p w14:paraId="5755C57B" w14:textId="77777777" w:rsidR="00D26A86" w:rsidRPr="00D26A86" w:rsidRDefault="00D26A86" w:rsidP="0097696B">
      <w:pPr>
        <w:numPr>
          <w:ilvl w:val="0"/>
          <w:numId w:val="6"/>
        </w:numPr>
        <w:spacing w:after="0"/>
        <w:jc w:val="both"/>
        <w:rPr>
          <w:rFonts w:cs="Calibri"/>
          <w:bCs/>
        </w:rPr>
      </w:pPr>
      <w:r w:rsidRPr="00D26A86">
        <w:rPr>
          <w:rFonts w:cs="Calibri"/>
          <w:bCs/>
        </w:rPr>
        <w:t>higrometrem do oceny wilgotności podłoża,</w:t>
      </w:r>
    </w:p>
    <w:p w14:paraId="1085E12B" w14:textId="77777777" w:rsidR="00D26A86" w:rsidRPr="00D26A86" w:rsidRDefault="00D26A86" w:rsidP="0097696B">
      <w:pPr>
        <w:numPr>
          <w:ilvl w:val="0"/>
          <w:numId w:val="6"/>
        </w:numPr>
        <w:spacing w:after="0"/>
        <w:jc w:val="both"/>
        <w:rPr>
          <w:rFonts w:cs="Calibri"/>
          <w:bCs/>
        </w:rPr>
      </w:pPr>
      <w:r w:rsidRPr="00D26A86">
        <w:rPr>
          <w:rFonts w:cs="Calibri"/>
          <w:bCs/>
        </w:rPr>
        <w:t>poziomnicą laserową i 2-metrowymi łatami do sprawdzania równości powierzchni,</w:t>
      </w:r>
    </w:p>
    <w:p w14:paraId="7B1BEE28" w14:textId="77777777" w:rsidR="00D26A86" w:rsidRPr="00D26A86" w:rsidRDefault="00D26A86" w:rsidP="0097696B">
      <w:pPr>
        <w:numPr>
          <w:ilvl w:val="0"/>
          <w:numId w:val="6"/>
        </w:numPr>
        <w:spacing w:after="0"/>
        <w:jc w:val="both"/>
        <w:rPr>
          <w:rFonts w:cs="Calibri"/>
          <w:bCs/>
        </w:rPr>
      </w:pPr>
      <w:r w:rsidRPr="00D26A86">
        <w:rPr>
          <w:rFonts w:cs="Calibri"/>
          <w:bCs/>
        </w:rPr>
        <w:t>zestawem ostrych noży do wykładzin,</w:t>
      </w:r>
    </w:p>
    <w:p w14:paraId="798C75EE" w14:textId="77777777" w:rsidR="00D26A86" w:rsidRPr="00D26A86" w:rsidRDefault="00D26A86" w:rsidP="0097696B">
      <w:pPr>
        <w:numPr>
          <w:ilvl w:val="0"/>
          <w:numId w:val="6"/>
        </w:numPr>
        <w:spacing w:after="0"/>
        <w:jc w:val="both"/>
        <w:rPr>
          <w:rFonts w:cs="Calibri"/>
          <w:bCs/>
        </w:rPr>
      </w:pPr>
      <w:r w:rsidRPr="00D26A86">
        <w:rPr>
          <w:rFonts w:cs="Calibri"/>
          <w:bCs/>
        </w:rPr>
        <w:t>wiertarką i wkrętarką do wykonywania listew ozdobnych oraz drobnym sprzętem jak pace, pędzle, szczotki itp.</w:t>
      </w:r>
    </w:p>
    <w:p w14:paraId="1C951FFA" w14:textId="77777777" w:rsidR="00D26A86" w:rsidRPr="00D26A86" w:rsidRDefault="00D26A86" w:rsidP="0097696B">
      <w:pPr>
        <w:numPr>
          <w:ilvl w:val="0"/>
          <w:numId w:val="7"/>
        </w:numPr>
        <w:spacing w:after="0"/>
        <w:jc w:val="both"/>
        <w:rPr>
          <w:rFonts w:cs="Calibri"/>
          <w:bCs/>
        </w:rPr>
      </w:pPr>
      <w:r w:rsidRPr="00D26A86">
        <w:rPr>
          <w:rFonts w:cs="Calibri"/>
          <w:bCs/>
        </w:rPr>
        <w:t>mieszadła do kleju o napędzie elektrycznym</w:t>
      </w:r>
    </w:p>
    <w:p w14:paraId="1FF87EAF" w14:textId="77777777" w:rsidR="00D26A86" w:rsidRPr="00D26A86" w:rsidRDefault="00D26A86" w:rsidP="0097696B">
      <w:pPr>
        <w:numPr>
          <w:ilvl w:val="0"/>
          <w:numId w:val="7"/>
        </w:numPr>
        <w:spacing w:after="0"/>
        <w:jc w:val="both"/>
        <w:rPr>
          <w:rFonts w:cs="Calibri"/>
          <w:bCs/>
        </w:rPr>
      </w:pPr>
      <w:r w:rsidRPr="00D26A86">
        <w:rPr>
          <w:rFonts w:cs="Calibri"/>
          <w:bCs/>
        </w:rPr>
        <w:t>pojemniki do kleju</w:t>
      </w:r>
    </w:p>
    <w:p w14:paraId="1B20B048" w14:textId="77777777" w:rsidR="00300DDF" w:rsidRDefault="00300DDF" w:rsidP="001A28D3">
      <w:pPr>
        <w:spacing w:after="0"/>
        <w:jc w:val="both"/>
        <w:rPr>
          <w:rFonts w:cs="Calibri"/>
          <w:bCs/>
        </w:rPr>
      </w:pPr>
    </w:p>
    <w:p w14:paraId="5017702E" w14:textId="77777777" w:rsidR="0090531A" w:rsidRPr="0090531A" w:rsidRDefault="0090531A" w:rsidP="0097696B">
      <w:pPr>
        <w:pStyle w:val="Akapitzlist"/>
        <w:numPr>
          <w:ilvl w:val="0"/>
          <w:numId w:val="1"/>
        </w:numPr>
        <w:spacing w:after="0"/>
        <w:jc w:val="both"/>
        <w:rPr>
          <w:rFonts w:cs="Calibri"/>
          <w:b/>
          <w:bCs/>
        </w:rPr>
      </w:pPr>
      <w:r w:rsidRPr="0090531A">
        <w:rPr>
          <w:rFonts w:cs="Calibri"/>
          <w:b/>
          <w:bCs/>
        </w:rPr>
        <w:t>TRANSPORT</w:t>
      </w:r>
    </w:p>
    <w:p w14:paraId="2E376D21" w14:textId="77777777" w:rsidR="0090531A" w:rsidRPr="0090531A" w:rsidRDefault="0090531A" w:rsidP="0097696B">
      <w:pPr>
        <w:pStyle w:val="Akapitzlist"/>
        <w:numPr>
          <w:ilvl w:val="1"/>
          <w:numId w:val="1"/>
        </w:numPr>
        <w:spacing w:after="0"/>
        <w:jc w:val="both"/>
        <w:rPr>
          <w:rFonts w:cs="Calibri"/>
          <w:b/>
          <w:bCs/>
        </w:rPr>
      </w:pPr>
      <w:r w:rsidRPr="0090531A">
        <w:rPr>
          <w:rFonts w:cs="Calibri"/>
          <w:b/>
          <w:bCs/>
        </w:rPr>
        <w:t>Ogólne wymagania dotyczące transportu</w:t>
      </w:r>
    </w:p>
    <w:p w14:paraId="1F624B5B" w14:textId="77777777" w:rsidR="0090531A" w:rsidRPr="0090531A" w:rsidRDefault="0090531A" w:rsidP="0090531A">
      <w:pPr>
        <w:spacing w:after="0"/>
        <w:jc w:val="both"/>
        <w:rPr>
          <w:rFonts w:cs="Calibri"/>
          <w:bCs/>
        </w:rPr>
      </w:pPr>
      <w:r w:rsidRPr="0090531A">
        <w:rPr>
          <w:rFonts w:cs="Calibri"/>
          <w:bCs/>
        </w:rPr>
        <w:t xml:space="preserve">Ogólne wymagania dotyczące transportu podano w „Wymaganiach ogólnych” </w:t>
      </w:r>
    </w:p>
    <w:p w14:paraId="18F196A9" w14:textId="77777777" w:rsidR="0090531A" w:rsidRPr="0090531A" w:rsidRDefault="0090531A" w:rsidP="0090531A">
      <w:pPr>
        <w:spacing w:after="0"/>
        <w:jc w:val="both"/>
        <w:rPr>
          <w:rFonts w:cs="Calibri"/>
          <w:bCs/>
        </w:rPr>
      </w:pPr>
      <w:r w:rsidRPr="0090531A">
        <w:rPr>
          <w:rFonts w:cs="Calibri"/>
          <w:bCs/>
        </w:rPr>
        <w:t>Wykonawca może używać tylko takich środków transportu, które nie wpłyną negatywnie na jakość przewożonych materiałów. Przewożone materiały powinny być zabezpieczone przed przemieszczaniem się i układane zgodnie z warunkami transportu wskazanymi przez producenta. Podczas transportu wykładzina powinna być zabezpieczona przed uszkodzeniem, zawilgoceniem, załamaniem rulonu, odbarwieniem i zakurzeniem.</w:t>
      </w:r>
    </w:p>
    <w:p w14:paraId="072D9881" w14:textId="77777777" w:rsidR="0090531A" w:rsidRPr="0090531A" w:rsidRDefault="0090531A" w:rsidP="0090531A">
      <w:pPr>
        <w:spacing w:after="0"/>
        <w:jc w:val="both"/>
        <w:rPr>
          <w:rFonts w:cs="Calibri"/>
          <w:bCs/>
        </w:rPr>
      </w:pPr>
      <w:r w:rsidRPr="0090531A">
        <w:rPr>
          <w:rFonts w:cs="Calibri"/>
          <w:bCs/>
        </w:rPr>
        <w:t>Transport powinien odbywać się krytymi środkami transportu. Ułożenie i zabezpieczenie ładunku powinno być zgodne z przepisami transportowymi dotyczącymi transportu samochodowego. Rolki przechowywać w miejscu suchym i przewiewnym, nie wystawionym na bezpośrednie działanie promieni słonecznych i opadów atmosferycznych. Materiał izolować od podłoża składając je np. na podestach.</w:t>
      </w:r>
    </w:p>
    <w:p w14:paraId="7B404ECC" w14:textId="77777777" w:rsidR="00B41B0F" w:rsidRDefault="00B41B0F" w:rsidP="001A28D3">
      <w:pPr>
        <w:spacing w:after="0"/>
        <w:jc w:val="both"/>
        <w:rPr>
          <w:rFonts w:cs="Calibri"/>
          <w:bCs/>
        </w:rPr>
      </w:pPr>
    </w:p>
    <w:p w14:paraId="6D1BE251" w14:textId="77777777" w:rsidR="0090531A" w:rsidRPr="0090531A" w:rsidRDefault="0090531A" w:rsidP="0097696B">
      <w:pPr>
        <w:pStyle w:val="Akapitzlist"/>
        <w:numPr>
          <w:ilvl w:val="0"/>
          <w:numId w:val="1"/>
        </w:numPr>
        <w:spacing w:after="0"/>
        <w:jc w:val="both"/>
        <w:rPr>
          <w:rFonts w:cs="Calibri"/>
          <w:b/>
          <w:bCs/>
        </w:rPr>
      </w:pPr>
      <w:r w:rsidRPr="0090531A">
        <w:rPr>
          <w:rFonts w:cs="Calibri"/>
          <w:b/>
          <w:bCs/>
        </w:rPr>
        <w:t>WYKONYWANIE ROBÓT</w:t>
      </w:r>
    </w:p>
    <w:p w14:paraId="61C62127" w14:textId="77777777" w:rsidR="0090531A" w:rsidRPr="0090531A" w:rsidRDefault="0090531A" w:rsidP="0097696B">
      <w:pPr>
        <w:pStyle w:val="Akapitzlist"/>
        <w:numPr>
          <w:ilvl w:val="1"/>
          <w:numId w:val="1"/>
        </w:numPr>
        <w:spacing w:after="0"/>
        <w:jc w:val="both"/>
        <w:rPr>
          <w:rFonts w:cs="Calibri"/>
          <w:b/>
          <w:bCs/>
        </w:rPr>
      </w:pPr>
      <w:r w:rsidRPr="0090531A">
        <w:rPr>
          <w:rFonts w:cs="Calibri"/>
          <w:b/>
          <w:bCs/>
        </w:rPr>
        <w:t>Ogólne warunki wykonywania robót</w:t>
      </w:r>
    </w:p>
    <w:p w14:paraId="08F2CC62" w14:textId="77777777" w:rsidR="0090531A" w:rsidRPr="0090531A" w:rsidRDefault="0090531A" w:rsidP="0090531A">
      <w:pPr>
        <w:spacing w:after="0"/>
        <w:jc w:val="both"/>
        <w:rPr>
          <w:rFonts w:cs="Calibri"/>
          <w:bCs/>
        </w:rPr>
      </w:pPr>
      <w:r w:rsidRPr="0090531A">
        <w:rPr>
          <w:rFonts w:cs="Calibri"/>
          <w:bCs/>
        </w:rPr>
        <w:t xml:space="preserve">Ogólne warunki wykonywania robót podano w „Wymaganiach ogólnych” </w:t>
      </w:r>
    </w:p>
    <w:p w14:paraId="65977EB3" w14:textId="77777777" w:rsidR="0090531A" w:rsidRPr="0090531A" w:rsidRDefault="0090531A" w:rsidP="0090531A">
      <w:pPr>
        <w:spacing w:after="0"/>
        <w:jc w:val="both"/>
        <w:rPr>
          <w:rFonts w:cs="Calibri"/>
          <w:bCs/>
        </w:rPr>
      </w:pPr>
      <w:r w:rsidRPr="0090531A">
        <w:rPr>
          <w:rFonts w:cs="Calibri"/>
          <w:bCs/>
        </w:rPr>
        <w:t>Wszystkie prace związane z montażem powinny być wykonywanie zgodnie z projektem specyfikacją techniczną, poleceniami Inspektora Nadzoru i Rozporządzeniem Ministra Infrastruktury Dz.U. Nr.75 rok 2002.</w:t>
      </w:r>
    </w:p>
    <w:p w14:paraId="7FE49495" w14:textId="77777777" w:rsidR="0090531A" w:rsidRPr="0090531A" w:rsidRDefault="0090531A" w:rsidP="0090531A">
      <w:pPr>
        <w:spacing w:after="0"/>
        <w:jc w:val="both"/>
        <w:rPr>
          <w:rFonts w:cs="Calibri"/>
          <w:bCs/>
        </w:rPr>
      </w:pPr>
      <w:r w:rsidRPr="0090531A">
        <w:rPr>
          <w:rFonts w:cs="Calibri"/>
          <w:bCs/>
        </w:rPr>
        <w:t>Posadzki należy wykonać zgodnie z oznaczoną na rysunkach konstrukcją podłogi określającą poszczególne warstwy.</w:t>
      </w:r>
    </w:p>
    <w:p w14:paraId="7F25061F" w14:textId="77777777" w:rsidR="0090531A" w:rsidRPr="0090531A" w:rsidRDefault="00300DDF" w:rsidP="0090531A">
      <w:pPr>
        <w:spacing w:after="0"/>
        <w:jc w:val="both"/>
        <w:rPr>
          <w:rFonts w:cs="Calibri"/>
          <w:bCs/>
        </w:rPr>
      </w:pPr>
      <w:r w:rsidRPr="0090531A">
        <w:rPr>
          <w:rFonts w:cs="Calibri"/>
          <w:bCs/>
        </w:rPr>
        <w:t>W pomieszczeniach należy</w:t>
      </w:r>
      <w:r w:rsidR="0090531A" w:rsidRPr="0090531A">
        <w:rPr>
          <w:rFonts w:cs="Calibri"/>
          <w:bCs/>
        </w:rPr>
        <w:t xml:space="preserve"> </w:t>
      </w:r>
      <w:r w:rsidRPr="0090531A">
        <w:rPr>
          <w:rFonts w:cs="Calibri"/>
          <w:bCs/>
        </w:rPr>
        <w:t>w podłodze zainstalować urządzenia odpływowe oraz izolację</w:t>
      </w:r>
      <w:r w:rsidR="0090531A" w:rsidRPr="0090531A">
        <w:rPr>
          <w:rFonts w:cs="Calibri"/>
          <w:bCs/>
        </w:rPr>
        <w:t xml:space="preserve"> wodoszczelną bezpośrednio pod posadzką. Posadzkę należy ułożyć ze spadkami zapewniającymi swobodny odpływ wody z jej powierzchni.</w:t>
      </w:r>
    </w:p>
    <w:p w14:paraId="4A68C5FA" w14:textId="77777777" w:rsidR="0090531A" w:rsidRPr="0090531A" w:rsidRDefault="0090531A" w:rsidP="0090531A">
      <w:pPr>
        <w:spacing w:after="0"/>
        <w:jc w:val="both"/>
        <w:rPr>
          <w:rFonts w:cs="Calibri"/>
          <w:bCs/>
        </w:rPr>
      </w:pPr>
      <w:r w:rsidRPr="0090531A">
        <w:rPr>
          <w:rFonts w:cs="Calibri"/>
          <w:bCs/>
        </w:rPr>
        <w:lastRenderedPageBreak/>
        <w:t>Przed przystąpieniem do robót podłogowych – warstw izolacyjnych i podkładu – ściany i sufity powinny być otynkowane. Do wykończenia powierzchni (przyklejenia płytek, można przystąpić po zakończeniu wszystkich innych robót budowlanych, a szczególnie po wyschnięciu i pomalowaniu tynków, oraz wyschnięciu podkładu.</w:t>
      </w:r>
    </w:p>
    <w:p w14:paraId="307FE542" w14:textId="77777777" w:rsidR="0090531A" w:rsidRDefault="0090531A" w:rsidP="0090531A">
      <w:pPr>
        <w:spacing w:after="0"/>
        <w:jc w:val="both"/>
        <w:rPr>
          <w:rFonts w:cs="Calibri"/>
          <w:bCs/>
        </w:rPr>
      </w:pPr>
      <w:r w:rsidRPr="0090531A">
        <w:rPr>
          <w:rFonts w:cs="Calibri"/>
          <w:bCs/>
        </w:rPr>
        <w:t xml:space="preserve">Temp. pomieszczeń, w których wykonuje się nawierzchnie podłogi, nie powinna być niższa niż </w:t>
      </w:r>
      <w:smartTag w:uri="urn:schemas-microsoft-com:office:smarttags" w:element="metricconverter">
        <w:smartTagPr>
          <w:attr w:name="ProductID" w:val="100C"/>
        </w:smartTagPr>
        <w:r w:rsidRPr="0090531A">
          <w:rPr>
            <w:rFonts w:cs="Calibri"/>
            <w:bCs/>
          </w:rPr>
          <w:t>10</w:t>
        </w:r>
        <w:r w:rsidRPr="0090531A">
          <w:rPr>
            <w:rFonts w:cs="Calibri"/>
            <w:bCs/>
            <w:vertAlign w:val="superscript"/>
          </w:rPr>
          <w:t>0</w:t>
        </w:r>
        <w:r w:rsidRPr="0090531A">
          <w:rPr>
            <w:rFonts w:cs="Calibri"/>
            <w:bCs/>
          </w:rPr>
          <w:t>C</w:t>
        </w:r>
      </w:smartTag>
      <w:r w:rsidRPr="0090531A">
        <w:rPr>
          <w:rFonts w:cs="Calibri"/>
          <w:bCs/>
        </w:rPr>
        <w:t>. Podkłady i wylewki samopoziomujące wykonywane na mokro z mieszanki betonowej lub gotowych zapraw. Przy wykonywaniu podkładów i wylewek szczególną uwagę należy zwrócić na dodatek wody, który powinien być możliwie najmniejszy – względy wyciekania, zalewania czy zawilgacania pozostałych warstw izolacyjnych.</w:t>
      </w:r>
    </w:p>
    <w:p w14:paraId="358ADBDC" w14:textId="77777777" w:rsidR="00D52013" w:rsidRPr="0090531A" w:rsidRDefault="00D52013" w:rsidP="0090531A">
      <w:pPr>
        <w:spacing w:after="0"/>
        <w:jc w:val="both"/>
        <w:rPr>
          <w:rFonts w:cs="Calibri"/>
          <w:bCs/>
        </w:rPr>
      </w:pPr>
      <w:r>
        <w:rPr>
          <w:rFonts w:cs="Calibri"/>
          <w:bCs/>
        </w:rPr>
        <w:t>Powierzchnie po uprzednio usuniętych warstwach wykończeniowych należy oczyścić z pozostałości warstw klejących. Luźnie i niezwiązane części usunąć, powierzchnie zagruntować, ubytki uzupełnić właściwymi dla przyjętego systemu masami szpachlowymi.</w:t>
      </w:r>
    </w:p>
    <w:p w14:paraId="2B215A52" w14:textId="77777777" w:rsidR="001A28D3" w:rsidRPr="005D7E9B" w:rsidRDefault="001A28D3" w:rsidP="001A28D3">
      <w:pPr>
        <w:spacing w:after="0"/>
        <w:ind w:firstLine="708"/>
        <w:jc w:val="both"/>
        <w:rPr>
          <w:rFonts w:cs="Calibri"/>
          <w:b/>
          <w:bCs/>
        </w:rPr>
      </w:pPr>
      <w:r w:rsidRPr="005D7E9B">
        <w:rPr>
          <w:rFonts w:cs="Calibri"/>
          <w:b/>
          <w:bCs/>
        </w:rPr>
        <w:t>Posadzki z płytek</w:t>
      </w:r>
    </w:p>
    <w:p w14:paraId="3992B5A2" w14:textId="77777777" w:rsidR="001A28D3" w:rsidRPr="005D7E9B" w:rsidRDefault="001A28D3" w:rsidP="001A28D3">
      <w:pPr>
        <w:spacing w:after="0"/>
        <w:jc w:val="both"/>
        <w:rPr>
          <w:rFonts w:cs="Calibri"/>
          <w:bCs/>
        </w:rPr>
      </w:pPr>
      <w:r w:rsidRPr="005D7E9B">
        <w:rPr>
          <w:rFonts w:cs="Calibri"/>
          <w:bCs/>
        </w:rPr>
        <w:t>Temperatura powietrza w czasie układania płytek powinna wynosić co najmniej +5 °C. Temperaturę</w:t>
      </w:r>
      <w:r>
        <w:rPr>
          <w:rFonts w:cs="Calibri"/>
          <w:bCs/>
        </w:rPr>
        <w:t xml:space="preserve"> </w:t>
      </w:r>
      <w:r w:rsidRPr="005D7E9B">
        <w:rPr>
          <w:rFonts w:cs="Calibri"/>
          <w:bCs/>
        </w:rPr>
        <w:t>te nale</w:t>
      </w:r>
      <w:r>
        <w:rPr>
          <w:rFonts w:cs="Calibri"/>
          <w:bCs/>
        </w:rPr>
        <w:t>ż</w:t>
      </w:r>
      <w:r w:rsidRPr="005D7E9B">
        <w:rPr>
          <w:rFonts w:cs="Calibri"/>
          <w:bCs/>
        </w:rPr>
        <w:t>y zapewnić, na co najmniej kilka dni przed rozpoczęciem robót oraz w czasie wiązania</w:t>
      </w:r>
      <w:r>
        <w:rPr>
          <w:rFonts w:cs="Calibri"/>
          <w:bCs/>
        </w:rPr>
        <w:t xml:space="preserve"> </w:t>
      </w:r>
      <w:r w:rsidRPr="005D7E9B">
        <w:rPr>
          <w:rFonts w:cs="Calibri"/>
          <w:bCs/>
        </w:rPr>
        <w:t>i twardnienia zaprawy</w:t>
      </w:r>
      <w:r>
        <w:rPr>
          <w:rFonts w:cs="Calibri"/>
          <w:bCs/>
        </w:rPr>
        <w:t>.</w:t>
      </w:r>
    </w:p>
    <w:p w14:paraId="4C4EEA62" w14:textId="77777777" w:rsidR="001A28D3" w:rsidRPr="005D7E9B" w:rsidRDefault="001A28D3" w:rsidP="001A28D3">
      <w:pPr>
        <w:spacing w:after="0"/>
        <w:jc w:val="both"/>
        <w:rPr>
          <w:rFonts w:cs="Calibri"/>
          <w:bCs/>
        </w:rPr>
      </w:pPr>
      <w:r w:rsidRPr="005D7E9B">
        <w:rPr>
          <w:rFonts w:cs="Calibri"/>
          <w:bCs/>
        </w:rPr>
        <w:t>Materiały u</w:t>
      </w:r>
      <w:r>
        <w:rPr>
          <w:rFonts w:cs="Calibri"/>
          <w:bCs/>
        </w:rPr>
        <w:t>ż</w:t>
      </w:r>
      <w:r w:rsidRPr="005D7E9B">
        <w:rPr>
          <w:rFonts w:cs="Calibri"/>
          <w:bCs/>
        </w:rPr>
        <w:t xml:space="preserve">yte do wykonywania posadzki powinny znajdować </w:t>
      </w:r>
      <w:proofErr w:type="spellStart"/>
      <w:r w:rsidRPr="005D7E9B">
        <w:rPr>
          <w:rFonts w:cs="Calibri"/>
          <w:bCs/>
        </w:rPr>
        <w:t>sie</w:t>
      </w:r>
      <w:proofErr w:type="spellEnd"/>
      <w:r w:rsidRPr="005D7E9B">
        <w:rPr>
          <w:rFonts w:cs="Calibri"/>
          <w:bCs/>
        </w:rPr>
        <w:t xml:space="preserve"> w pomieszczeniach o wymaganej</w:t>
      </w:r>
      <w:r>
        <w:rPr>
          <w:rFonts w:cs="Calibri"/>
          <w:bCs/>
        </w:rPr>
        <w:t xml:space="preserve"> </w:t>
      </w:r>
      <w:r w:rsidRPr="005D7E9B">
        <w:rPr>
          <w:rFonts w:cs="Calibri"/>
          <w:bCs/>
        </w:rPr>
        <w:t>temperaturze co najmniej 24 godziny przed rozpoczęciem robót</w:t>
      </w:r>
      <w:r>
        <w:rPr>
          <w:rFonts w:cs="Calibri"/>
          <w:bCs/>
        </w:rPr>
        <w:t>.</w:t>
      </w:r>
    </w:p>
    <w:p w14:paraId="0A8285F9" w14:textId="77777777" w:rsidR="001A28D3" w:rsidRPr="005D7E9B" w:rsidRDefault="001A28D3" w:rsidP="001A28D3">
      <w:pPr>
        <w:spacing w:after="0"/>
        <w:jc w:val="both"/>
        <w:rPr>
          <w:rFonts w:cs="Calibri"/>
          <w:bCs/>
        </w:rPr>
      </w:pPr>
      <w:r w:rsidRPr="005D7E9B">
        <w:rPr>
          <w:rFonts w:cs="Calibri"/>
          <w:bCs/>
        </w:rPr>
        <w:t xml:space="preserve">Przed przystąpieniem do </w:t>
      </w:r>
      <w:proofErr w:type="spellStart"/>
      <w:r w:rsidRPr="005D7E9B">
        <w:rPr>
          <w:rFonts w:cs="Calibri"/>
          <w:bCs/>
        </w:rPr>
        <w:t>okładzinowania</w:t>
      </w:r>
      <w:proofErr w:type="spellEnd"/>
      <w:r w:rsidRPr="005D7E9B">
        <w:rPr>
          <w:rFonts w:cs="Calibri"/>
          <w:bCs/>
        </w:rPr>
        <w:t xml:space="preserve"> powierzchni podłóg w pomieszczeniach mokrych nale</w:t>
      </w:r>
      <w:r>
        <w:rPr>
          <w:rFonts w:cs="Calibri"/>
          <w:bCs/>
        </w:rPr>
        <w:t>ż</w:t>
      </w:r>
      <w:r w:rsidRPr="005D7E9B">
        <w:rPr>
          <w:rFonts w:cs="Calibri"/>
          <w:bCs/>
        </w:rPr>
        <w:t>y</w:t>
      </w:r>
      <w:r>
        <w:rPr>
          <w:rFonts w:cs="Calibri"/>
          <w:bCs/>
        </w:rPr>
        <w:t xml:space="preserve"> </w:t>
      </w:r>
      <w:r w:rsidRPr="005D7E9B">
        <w:rPr>
          <w:rFonts w:cs="Calibri"/>
          <w:bCs/>
        </w:rPr>
        <w:t>sprawdzić spadki do elementów odwadniających, min. 1.5%.</w:t>
      </w:r>
    </w:p>
    <w:p w14:paraId="4C5A692A" w14:textId="77777777" w:rsidR="001A28D3" w:rsidRPr="005D7E9B" w:rsidRDefault="001A28D3" w:rsidP="001A28D3">
      <w:pPr>
        <w:spacing w:after="0"/>
        <w:jc w:val="both"/>
        <w:rPr>
          <w:rFonts w:cs="Calibri"/>
          <w:bCs/>
        </w:rPr>
      </w:pPr>
      <w:r w:rsidRPr="005D7E9B">
        <w:rPr>
          <w:rFonts w:cs="Calibri"/>
          <w:bCs/>
        </w:rPr>
        <w:t>Dla pomieszczeń bez odwodnienia podłogi układać w poziomie wykończeniowym.</w:t>
      </w:r>
    </w:p>
    <w:p w14:paraId="43814394" w14:textId="77777777" w:rsidR="001A28D3" w:rsidRPr="005D7E9B" w:rsidRDefault="001A28D3" w:rsidP="001A28D3">
      <w:pPr>
        <w:spacing w:after="0"/>
        <w:jc w:val="both"/>
        <w:rPr>
          <w:rFonts w:cs="Calibri"/>
          <w:bCs/>
        </w:rPr>
      </w:pPr>
      <w:r w:rsidRPr="005D7E9B">
        <w:rPr>
          <w:rFonts w:cs="Calibri"/>
          <w:bCs/>
        </w:rPr>
        <w:t>Warstwa kleju pod płytki nie mo</w:t>
      </w:r>
      <w:r>
        <w:rPr>
          <w:rFonts w:cs="Calibri"/>
          <w:bCs/>
        </w:rPr>
        <w:t>ż</w:t>
      </w:r>
      <w:r w:rsidRPr="005D7E9B">
        <w:rPr>
          <w:rFonts w:cs="Calibri"/>
          <w:bCs/>
        </w:rPr>
        <w:t>e zawierać pustych miejsc.</w:t>
      </w:r>
    </w:p>
    <w:p w14:paraId="510A5E01" w14:textId="77777777" w:rsidR="001A28D3" w:rsidRDefault="001A28D3" w:rsidP="001A28D3">
      <w:pPr>
        <w:spacing w:after="0"/>
        <w:jc w:val="both"/>
        <w:rPr>
          <w:rFonts w:cs="Calibri"/>
          <w:bCs/>
        </w:rPr>
      </w:pPr>
      <w:r w:rsidRPr="005D7E9B">
        <w:rPr>
          <w:rFonts w:cs="Calibri"/>
          <w:bCs/>
        </w:rPr>
        <w:t>Dla pomieszczeń nie zdefiniowanych projektem wnętrz płytki nale</w:t>
      </w:r>
      <w:r>
        <w:rPr>
          <w:rFonts w:cs="Calibri"/>
          <w:bCs/>
        </w:rPr>
        <w:t>ż</w:t>
      </w:r>
      <w:r w:rsidRPr="005D7E9B">
        <w:rPr>
          <w:rFonts w:cs="Calibri"/>
          <w:bCs/>
        </w:rPr>
        <w:t>y rozmierzać tak, aby docinki płytek</w:t>
      </w:r>
      <w:r>
        <w:rPr>
          <w:rFonts w:cs="Calibri"/>
          <w:bCs/>
        </w:rPr>
        <w:t xml:space="preserve"> </w:t>
      </w:r>
      <w:r w:rsidRPr="005D7E9B">
        <w:rPr>
          <w:rFonts w:cs="Calibri"/>
          <w:bCs/>
        </w:rPr>
        <w:t>przy krawędziach (końcach ścian) miały wymiar większy ni</w:t>
      </w:r>
      <w:r>
        <w:rPr>
          <w:rFonts w:cs="Calibri"/>
          <w:bCs/>
        </w:rPr>
        <w:t>ż</w:t>
      </w:r>
      <w:r w:rsidRPr="005D7E9B">
        <w:rPr>
          <w:rFonts w:cs="Calibri"/>
          <w:bCs/>
        </w:rPr>
        <w:t xml:space="preserve"> połowa płytki.</w:t>
      </w:r>
    </w:p>
    <w:p w14:paraId="15C53305" w14:textId="77777777" w:rsidR="001A28D3" w:rsidRPr="00954301" w:rsidRDefault="001A28D3" w:rsidP="001A28D3">
      <w:pPr>
        <w:spacing w:after="0"/>
        <w:ind w:firstLine="708"/>
        <w:jc w:val="both"/>
        <w:rPr>
          <w:rFonts w:cs="Calibri"/>
          <w:b/>
          <w:bCs/>
        </w:rPr>
      </w:pPr>
      <w:r w:rsidRPr="00954301">
        <w:rPr>
          <w:rFonts w:cs="Calibri"/>
          <w:b/>
          <w:bCs/>
        </w:rPr>
        <w:t>Przygotowanie podło</w:t>
      </w:r>
      <w:r>
        <w:rPr>
          <w:rFonts w:cs="Calibri"/>
          <w:b/>
          <w:bCs/>
        </w:rPr>
        <w:t>ż</w:t>
      </w:r>
      <w:r w:rsidRPr="00954301">
        <w:rPr>
          <w:rFonts w:cs="Calibri"/>
          <w:b/>
          <w:bCs/>
        </w:rPr>
        <w:t>a przed uło</w:t>
      </w:r>
      <w:r>
        <w:rPr>
          <w:rFonts w:cs="Calibri"/>
          <w:b/>
          <w:bCs/>
        </w:rPr>
        <w:t>ż</w:t>
      </w:r>
      <w:r w:rsidRPr="00954301">
        <w:rPr>
          <w:rFonts w:cs="Calibri"/>
          <w:b/>
          <w:bCs/>
        </w:rPr>
        <w:t>eniem posadzki:</w:t>
      </w:r>
    </w:p>
    <w:p w14:paraId="4942F473" w14:textId="77777777" w:rsidR="001A28D3" w:rsidRPr="00954301" w:rsidRDefault="001A28D3" w:rsidP="001A28D3">
      <w:pPr>
        <w:spacing w:after="0"/>
        <w:jc w:val="both"/>
        <w:rPr>
          <w:rFonts w:cs="Calibri"/>
          <w:bCs/>
        </w:rPr>
      </w:pPr>
      <w:r w:rsidRPr="00954301">
        <w:rPr>
          <w:rFonts w:cs="Calibri"/>
          <w:bCs/>
        </w:rPr>
        <w:t>Z powierzchni istniejącego podło</w:t>
      </w:r>
      <w:r>
        <w:rPr>
          <w:rFonts w:cs="Calibri"/>
          <w:bCs/>
        </w:rPr>
        <w:t>ż</w:t>
      </w:r>
      <w:r w:rsidRPr="00954301">
        <w:rPr>
          <w:rFonts w:cs="Calibri"/>
          <w:bCs/>
        </w:rPr>
        <w:t>a nale</w:t>
      </w:r>
      <w:r>
        <w:rPr>
          <w:rFonts w:cs="Calibri"/>
          <w:bCs/>
        </w:rPr>
        <w:t>ż</w:t>
      </w:r>
      <w:r w:rsidRPr="00954301">
        <w:rPr>
          <w:rFonts w:cs="Calibri"/>
          <w:bCs/>
        </w:rPr>
        <w:t>y usunąć wszystkie luźne części, zatłuszczenia, jak</w:t>
      </w:r>
      <w:r>
        <w:rPr>
          <w:rFonts w:cs="Calibri"/>
          <w:bCs/>
        </w:rPr>
        <w:t xml:space="preserve"> </w:t>
      </w:r>
      <w:r w:rsidRPr="00954301">
        <w:rPr>
          <w:rFonts w:cs="Calibri"/>
          <w:bCs/>
        </w:rPr>
        <w:t>równie</w:t>
      </w:r>
      <w:r>
        <w:rPr>
          <w:rFonts w:cs="Calibri"/>
          <w:bCs/>
        </w:rPr>
        <w:t>ż</w:t>
      </w:r>
      <w:r w:rsidRPr="00954301">
        <w:rPr>
          <w:rFonts w:cs="Calibri"/>
          <w:bCs/>
        </w:rPr>
        <w:t xml:space="preserve"> zabrudzenia pochodzenia kwasowego i zasadowego, utrudniające przyczepność,</w:t>
      </w:r>
      <w:r>
        <w:rPr>
          <w:rFonts w:cs="Calibri"/>
          <w:bCs/>
        </w:rPr>
        <w:t xml:space="preserve"> piaszczą</w:t>
      </w:r>
      <w:r w:rsidR="005A39FF">
        <w:rPr>
          <w:rFonts w:cs="Calibri"/>
          <w:bCs/>
        </w:rPr>
        <w:t>ce i tłuszczące się</w:t>
      </w:r>
      <w:r w:rsidRPr="00954301">
        <w:rPr>
          <w:rFonts w:cs="Calibri"/>
          <w:bCs/>
        </w:rPr>
        <w:t xml:space="preserve"> warstwy zapraw.</w:t>
      </w:r>
    </w:p>
    <w:p w14:paraId="28A8AB02" w14:textId="77777777" w:rsidR="001A28D3" w:rsidRPr="00954301" w:rsidRDefault="001A28D3" w:rsidP="001A28D3">
      <w:pPr>
        <w:spacing w:after="0"/>
        <w:jc w:val="both"/>
        <w:rPr>
          <w:rFonts w:cs="Calibri"/>
          <w:bCs/>
        </w:rPr>
      </w:pPr>
      <w:r w:rsidRPr="00954301">
        <w:rPr>
          <w:rFonts w:cs="Calibri"/>
          <w:bCs/>
        </w:rPr>
        <w:t>Podło</w:t>
      </w:r>
      <w:r>
        <w:rPr>
          <w:rFonts w:cs="Calibri"/>
          <w:bCs/>
        </w:rPr>
        <w:t>ż</w:t>
      </w:r>
      <w:r w:rsidRPr="00954301">
        <w:rPr>
          <w:rFonts w:cs="Calibri"/>
          <w:bCs/>
        </w:rPr>
        <w:t>e powinno być nośne, a wytrzymałość na odrywanie powinna być zgodnie z PN/B – 10107</w:t>
      </w:r>
      <w:r>
        <w:rPr>
          <w:rFonts w:cs="Calibri"/>
          <w:bCs/>
        </w:rPr>
        <w:t xml:space="preserve"> </w:t>
      </w:r>
      <w:r w:rsidRPr="00954301">
        <w:rPr>
          <w:rFonts w:cs="Calibri"/>
          <w:bCs/>
        </w:rPr>
        <w:t xml:space="preserve">nie mniejsza ni1 0.5 </w:t>
      </w:r>
      <w:proofErr w:type="spellStart"/>
      <w:r w:rsidRPr="00954301">
        <w:rPr>
          <w:rFonts w:cs="Calibri"/>
          <w:bCs/>
        </w:rPr>
        <w:t>MPa</w:t>
      </w:r>
      <w:proofErr w:type="spellEnd"/>
      <w:r w:rsidRPr="00954301">
        <w:rPr>
          <w:rFonts w:cs="Calibri"/>
          <w:bCs/>
        </w:rPr>
        <w:t>.</w:t>
      </w:r>
    </w:p>
    <w:p w14:paraId="69B52D49" w14:textId="77777777" w:rsidR="001A28D3" w:rsidRPr="00954301" w:rsidRDefault="001A28D3" w:rsidP="001A28D3">
      <w:pPr>
        <w:spacing w:after="0"/>
        <w:jc w:val="both"/>
        <w:rPr>
          <w:rFonts w:cs="Calibri"/>
          <w:bCs/>
        </w:rPr>
      </w:pPr>
      <w:r w:rsidRPr="00954301">
        <w:rPr>
          <w:rFonts w:cs="Calibri"/>
          <w:bCs/>
        </w:rPr>
        <w:t>Podło</w:t>
      </w:r>
      <w:r>
        <w:rPr>
          <w:rFonts w:cs="Calibri"/>
          <w:bCs/>
        </w:rPr>
        <w:t>ż</w:t>
      </w:r>
      <w:r w:rsidRPr="00954301">
        <w:rPr>
          <w:rFonts w:cs="Calibri"/>
          <w:bCs/>
        </w:rPr>
        <w:t>e musi być równe, suche, twarde, czyste, odpowiednio porowate, bez pęknięć i szczelin.</w:t>
      </w:r>
    </w:p>
    <w:p w14:paraId="6697473F" w14:textId="77777777" w:rsidR="001A28D3" w:rsidRDefault="001A28D3" w:rsidP="001A28D3">
      <w:pPr>
        <w:spacing w:after="0"/>
        <w:jc w:val="both"/>
        <w:rPr>
          <w:rFonts w:cs="Calibri"/>
          <w:bCs/>
        </w:rPr>
      </w:pPr>
      <w:r w:rsidRPr="00954301">
        <w:rPr>
          <w:rFonts w:cs="Calibri"/>
          <w:bCs/>
        </w:rPr>
        <w:t>Wilgotność nie mo</w:t>
      </w:r>
      <w:r>
        <w:rPr>
          <w:rFonts w:cs="Calibri"/>
          <w:bCs/>
        </w:rPr>
        <w:t>ż</w:t>
      </w:r>
      <w:r w:rsidRPr="00954301">
        <w:rPr>
          <w:rFonts w:cs="Calibri"/>
          <w:bCs/>
        </w:rPr>
        <w:t>e przekraczać 2% dla betonu i 0.5 % dla anhydrytu</w:t>
      </w:r>
    </w:p>
    <w:p w14:paraId="54953425" w14:textId="77777777" w:rsidR="001A28D3" w:rsidRPr="00FF5D53" w:rsidRDefault="001A28D3" w:rsidP="001A28D3">
      <w:pPr>
        <w:spacing w:after="0"/>
        <w:ind w:firstLine="708"/>
        <w:jc w:val="both"/>
        <w:rPr>
          <w:rFonts w:cs="Calibri"/>
          <w:b/>
          <w:bCs/>
        </w:rPr>
      </w:pPr>
      <w:r w:rsidRPr="00FF5D53">
        <w:rPr>
          <w:rFonts w:cs="Calibri"/>
          <w:b/>
          <w:bCs/>
        </w:rPr>
        <w:t>Zakres robót zasadniczych</w:t>
      </w:r>
    </w:p>
    <w:p w14:paraId="7AFE5DBC" w14:textId="77777777" w:rsidR="001A28D3" w:rsidRPr="00FF5D53" w:rsidRDefault="001A28D3" w:rsidP="001A28D3">
      <w:pPr>
        <w:spacing w:after="0"/>
        <w:jc w:val="both"/>
        <w:rPr>
          <w:rFonts w:cs="Calibri"/>
          <w:bCs/>
        </w:rPr>
      </w:pPr>
      <w:r w:rsidRPr="00FF5D53">
        <w:rPr>
          <w:rFonts w:cs="Calibri"/>
          <w:bCs/>
        </w:rPr>
        <w:t>Posadzki z płytek ceramicznych układać na przygotowanym wcześniej suchym i czystym podkładzie.</w:t>
      </w:r>
    </w:p>
    <w:p w14:paraId="0B5EDD87" w14:textId="77777777" w:rsidR="001A28D3" w:rsidRPr="00FF5D53" w:rsidRDefault="001A28D3" w:rsidP="001A28D3">
      <w:pPr>
        <w:spacing w:after="0"/>
        <w:jc w:val="both"/>
        <w:rPr>
          <w:rFonts w:cs="Calibri"/>
          <w:bCs/>
        </w:rPr>
      </w:pPr>
      <w:r w:rsidRPr="00FF5D53">
        <w:rPr>
          <w:rFonts w:cs="Calibri"/>
          <w:bCs/>
        </w:rPr>
        <w:t>Do układania stosować klej, którego rodzaj dobrać zgodnie z przeznaczeniem posadzki oraz rodzaju</w:t>
      </w:r>
      <w:r>
        <w:rPr>
          <w:rFonts w:cs="Calibri"/>
          <w:bCs/>
        </w:rPr>
        <w:t xml:space="preserve"> </w:t>
      </w:r>
      <w:r w:rsidRPr="00FF5D53">
        <w:rPr>
          <w:rFonts w:cs="Calibri"/>
          <w:bCs/>
        </w:rPr>
        <w:t>płytek.</w:t>
      </w:r>
    </w:p>
    <w:p w14:paraId="51652AA1" w14:textId="77777777" w:rsidR="001A28D3" w:rsidRPr="00FF5D53" w:rsidRDefault="001A28D3" w:rsidP="001A28D3">
      <w:pPr>
        <w:spacing w:after="0"/>
        <w:jc w:val="both"/>
        <w:rPr>
          <w:rFonts w:cs="Calibri"/>
          <w:bCs/>
        </w:rPr>
      </w:pPr>
      <w:r w:rsidRPr="00FF5D53">
        <w:rPr>
          <w:rFonts w:cs="Calibri"/>
          <w:bCs/>
        </w:rPr>
        <w:t>Roboty posadzkowe rozpocząć od uło</w:t>
      </w:r>
      <w:r>
        <w:rPr>
          <w:rFonts w:cs="Calibri"/>
          <w:bCs/>
        </w:rPr>
        <w:t>ż</w:t>
      </w:r>
      <w:r w:rsidRPr="00FF5D53">
        <w:rPr>
          <w:rFonts w:cs="Calibri"/>
          <w:bCs/>
        </w:rPr>
        <w:t>enia spoziomowanych płytek-reperów, których powierzchnia</w:t>
      </w:r>
      <w:r>
        <w:rPr>
          <w:rFonts w:cs="Calibri"/>
          <w:bCs/>
        </w:rPr>
        <w:t xml:space="preserve"> </w:t>
      </w:r>
      <w:r w:rsidRPr="00FF5D53">
        <w:rPr>
          <w:rFonts w:cs="Calibri"/>
          <w:bCs/>
        </w:rPr>
        <w:t>wyznacza poło</w:t>
      </w:r>
      <w:r>
        <w:rPr>
          <w:rFonts w:cs="Calibri"/>
          <w:bCs/>
        </w:rPr>
        <w:t>ż</w:t>
      </w:r>
      <w:r w:rsidRPr="00FF5D53">
        <w:rPr>
          <w:rFonts w:cs="Calibri"/>
          <w:bCs/>
        </w:rPr>
        <w:t>enie płaszczyzny posadzki. Następnie uło</w:t>
      </w:r>
      <w:r>
        <w:rPr>
          <w:rFonts w:cs="Calibri"/>
          <w:bCs/>
        </w:rPr>
        <w:t>ż</w:t>
      </w:r>
      <w:r w:rsidRPr="00FF5D53">
        <w:rPr>
          <w:rFonts w:cs="Calibri"/>
          <w:bCs/>
        </w:rPr>
        <w:t>yć w odstępach będących wielokrotnością</w:t>
      </w:r>
      <w:r>
        <w:rPr>
          <w:rFonts w:cs="Calibri"/>
          <w:bCs/>
        </w:rPr>
        <w:t xml:space="preserve"> </w:t>
      </w:r>
      <w:r w:rsidRPr="00FF5D53">
        <w:rPr>
          <w:rFonts w:cs="Calibri"/>
          <w:bCs/>
        </w:rPr>
        <w:t xml:space="preserve">wymiaru płytek pasy kierunkowe, których płaszczyznę kontroluje </w:t>
      </w:r>
      <w:proofErr w:type="spellStart"/>
      <w:r w:rsidRPr="00FF5D53">
        <w:rPr>
          <w:rFonts w:cs="Calibri"/>
          <w:bCs/>
        </w:rPr>
        <w:t>sie</w:t>
      </w:r>
      <w:proofErr w:type="spellEnd"/>
      <w:r w:rsidRPr="00FF5D53">
        <w:rPr>
          <w:rFonts w:cs="Calibri"/>
          <w:bCs/>
        </w:rPr>
        <w:t xml:space="preserve"> łat</w:t>
      </w:r>
      <w:r>
        <w:rPr>
          <w:rFonts w:cs="Calibri"/>
          <w:bCs/>
        </w:rPr>
        <w:t>ą</w:t>
      </w:r>
      <w:r w:rsidRPr="00FF5D53">
        <w:rPr>
          <w:rFonts w:cs="Calibri"/>
          <w:bCs/>
        </w:rPr>
        <w:t xml:space="preserve"> opieran</w:t>
      </w:r>
      <w:r>
        <w:rPr>
          <w:rFonts w:cs="Calibri"/>
          <w:bCs/>
        </w:rPr>
        <w:t>ą</w:t>
      </w:r>
      <w:r w:rsidRPr="00FF5D53">
        <w:rPr>
          <w:rFonts w:cs="Calibri"/>
          <w:bCs/>
        </w:rPr>
        <w:t xml:space="preserve"> na płytkach</w:t>
      </w:r>
      <w:r>
        <w:rPr>
          <w:rFonts w:cs="Calibri"/>
          <w:bCs/>
        </w:rPr>
        <w:t xml:space="preserve"> </w:t>
      </w:r>
      <w:r w:rsidRPr="00FF5D53">
        <w:rPr>
          <w:rFonts w:cs="Calibri"/>
          <w:bCs/>
        </w:rPr>
        <w:t>reperach.</w:t>
      </w:r>
    </w:p>
    <w:p w14:paraId="3121513C" w14:textId="77777777" w:rsidR="001A28D3" w:rsidRPr="00FF5D53" w:rsidRDefault="001A28D3" w:rsidP="001A28D3">
      <w:pPr>
        <w:spacing w:after="0"/>
        <w:jc w:val="both"/>
        <w:rPr>
          <w:rFonts w:cs="Calibri"/>
          <w:bCs/>
        </w:rPr>
      </w:pPr>
      <w:r w:rsidRPr="00FF5D53">
        <w:rPr>
          <w:rFonts w:cs="Calibri"/>
          <w:bCs/>
        </w:rPr>
        <w:t xml:space="preserve">Prawidłowość płaszczyzny układanych pól kontroluje </w:t>
      </w:r>
      <w:proofErr w:type="spellStart"/>
      <w:r w:rsidRPr="00FF5D53">
        <w:rPr>
          <w:rFonts w:cs="Calibri"/>
          <w:bCs/>
        </w:rPr>
        <w:t>sie</w:t>
      </w:r>
      <w:proofErr w:type="spellEnd"/>
      <w:r w:rsidRPr="00FF5D53">
        <w:rPr>
          <w:rFonts w:cs="Calibri"/>
          <w:bCs/>
        </w:rPr>
        <w:t xml:space="preserve"> łata przykładana do pasów</w:t>
      </w:r>
      <w:r>
        <w:rPr>
          <w:rFonts w:cs="Calibri"/>
          <w:bCs/>
        </w:rPr>
        <w:t xml:space="preserve"> </w:t>
      </w:r>
      <w:r w:rsidRPr="00FF5D53">
        <w:rPr>
          <w:rFonts w:cs="Calibri"/>
          <w:bCs/>
        </w:rPr>
        <w:t xml:space="preserve">kierunkowych. Spoiny wypełnia </w:t>
      </w:r>
      <w:proofErr w:type="spellStart"/>
      <w:r w:rsidRPr="00FF5D53">
        <w:rPr>
          <w:rFonts w:cs="Calibri"/>
          <w:bCs/>
        </w:rPr>
        <w:t>sie</w:t>
      </w:r>
      <w:proofErr w:type="spellEnd"/>
      <w:r w:rsidRPr="00FF5D53">
        <w:rPr>
          <w:rFonts w:cs="Calibri"/>
          <w:bCs/>
        </w:rPr>
        <w:t xml:space="preserve"> zaprawa do spoinowania.</w:t>
      </w:r>
    </w:p>
    <w:p w14:paraId="6636301B" w14:textId="77777777" w:rsidR="001A28D3" w:rsidRDefault="001A28D3" w:rsidP="001A28D3">
      <w:pPr>
        <w:spacing w:after="0"/>
        <w:jc w:val="both"/>
        <w:rPr>
          <w:rFonts w:cs="Calibri"/>
          <w:bCs/>
        </w:rPr>
      </w:pPr>
      <w:r w:rsidRPr="00FF5D53">
        <w:rPr>
          <w:rFonts w:cs="Calibri"/>
          <w:bCs/>
        </w:rPr>
        <w:t>Posadzki z płytek wykończyć cokolikiem. Wykonanie cokolików jak okładziny ścienne. Spoiny na</w:t>
      </w:r>
      <w:r>
        <w:rPr>
          <w:rFonts w:cs="Calibri"/>
          <w:bCs/>
        </w:rPr>
        <w:t xml:space="preserve"> </w:t>
      </w:r>
      <w:r w:rsidRPr="00FF5D53">
        <w:rPr>
          <w:rFonts w:cs="Calibri"/>
          <w:bCs/>
        </w:rPr>
        <w:t>styku ściana/podłoga spoinować</w:t>
      </w:r>
      <w:r>
        <w:rPr>
          <w:rFonts w:cs="Calibri"/>
          <w:bCs/>
        </w:rPr>
        <w:t xml:space="preserve"> fugą</w:t>
      </w:r>
      <w:r w:rsidRPr="00FF5D53">
        <w:rPr>
          <w:rFonts w:cs="Calibri"/>
          <w:bCs/>
        </w:rPr>
        <w:t xml:space="preserve"> silikonowa.</w:t>
      </w:r>
    </w:p>
    <w:p w14:paraId="47E05652" w14:textId="77777777" w:rsidR="001E7B08" w:rsidRPr="001A22F9" w:rsidRDefault="001E7B08" w:rsidP="001A22F9">
      <w:pPr>
        <w:spacing w:after="0"/>
        <w:ind w:firstLine="708"/>
        <w:jc w:val="both"/>
        <w:rPr>
          <w:rFonts w:cs="Calibri"/>
          <w:b/>
          <w:bCs/>
        </w:rPr>
      </w:pPr>
      <w:r w:rsidRPr="000B0D46">
        <w:rPr>
          <w:rFonts w:cs="Calibri"/>
          <w:b/>
          <w:bCs/>
        </w:rPr>
        <w:t>Wykładziny</w:t>
      </w:r>
      <w:r w:rsidR="00753EE9" w:rsidRPr="000B0D46">
        <w:rPr>
          <w:rFonts w:cs="Calibri"/>
          <w:b/>
          <w:bCs/>
        </w:rPr>
        <w:t xml:space="preserve"> </w:t>
      </w:r>
    </w:p>
    <w:p w14:paraId="045C71D1" w14:textId="77777777" w:rsidR="001A22F9" w:rsidRPr="001A22F9" w:rsidRDefault="001A22F9" w:rsidP="001A22F9">
      <w:pPr>
        <w:spacing w:after="0"/>
        <w:jc w:val="both"/>
        <w:rPr>
          <w:rFonts w:cs="Calibri"/>
          <w:bCs/>
        </w:rPr>
      </w:pPr>
      <w:r w:rsidRPr="001A22F9">
        <w:rPr>
          <w:rFonts w:cs="Calibri"/>
          <w:bCs/>
        </w:rPr>
        <w:lastRenderedPageBreak/>
        <w:t>Kompozycje klejące musza spełniać wymagania PN-EN 1841:2001 lub odpowiednich aprobat</w:t>
      </w:r>
      <w:r>
        <w:rPr>
          <w:rFonts w:cs="Calibri"/>
          <w:bCs/>
        </w:rPr>
        <w:t xml:space="preserve"> </w:t>
      </w:r>
      <w:r w:rsidRPr="001A22F9">
        <w:rPr>
          <w:rFonts w:cs="Calibri"/>
          <w:bCs/>
        </w:rPr>
        <w:t>technicznych.</w:t>
      </w:r>
    </w:p>
    <w:p w14:paraId="69871339"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Do wykonywania posadzek z wykładzin powinny być dobierane materiały (wykładziny, kleje, masy wyrównujące, środki gruntujące itp.) odpowiadające normom państwowym lub świadectwom ich dopuszczenia do stosowania w budownictwie.</w:t>
      </w:r>
    </w:p>
    <w:p w14:paraId="7DF969AA"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 xml:space="preserve">Temperatura powietrza w pomieszczeniach, w których wykonuje </w:t>
      </w:r>
      <w:proofErr w:type="spellStart"/>
      <w:r w:rsidRPr="001A22F9">
        <w:rPr>
          <w:rFonts w:cs="Calibri"/>
          <w:bCs/>
        </w:rPr>
        <w:t>sie</w:t>
      </w:r>
      <w:proofErr w:type="spellEnd"/>
      <w:r w:rsidRPr="001A22F9">
        <w:rPr>
          <w:rFonts w:cs="Calibri"/>
          <w:bCs/>
        </w:rPr>
        <w:t xml:space="preserve"> posadzki nie powinna </w:t>
      </w:r>
      <w:proofErr w:type="spellStart"/>
      <w:r w:rsidRPr="001A22F9">
        <w:rPr>
          <w:rFonts w:cs="Calibri"/>
          <w:bCs/>
        </w:rPr>
        <w:t>byc</w:t>
      </w:r>
      <w:proofErr w:type="spellEnd"/>
      <w:r w:rsidRPr="001A22F9">
        <w:rPr>
          <w:rFonts w:cs="Calibri"/>
          <w:bCs/>
        </w:rPr>
        <w:t xml:space="preserve"> niższa niż 18 ºC i powinna być zapewniona co najmniej na kilka dni przed wykonywaniem robót, w trakcie ich wykonywania oraz w okresie wysychania kleju.</w:t>
      </w:r>
    </w:p>
    <w:p w14:paraId="6457978A"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 xml:space="preserve">Wszystkie materiały, a szczególnie wykładziny podłogowe i kleje, należy dostarczyć do pomieszczeń, </w:t>
      </w:r>
      <w:r>
        <w:rPr>
          <w:rFonts w:cs="Calibri"/>
          <w:bCs/>
        </w:rPr>
        <w:t>w których bę</w:t>
      </w:r>
      <w:r w:rsidRPr="001A22F9">
        <w:rPr>
          <w:rFonts w:cs="Calibri"/>
          <w:bCs/>
        </w:rPr>
        <w:t>d</w:t>
      </w:r>
      <w:r>
        <w:rPr>
          <w:rFonts w:cs="Calibri"/>
          <w:bCs/>
        </w:rPr>
        <w:t>ą</w:t>
      </w:r>
      <w:r w:rsidRPr="001A22F9">
        <w:rPr>
          <w:rFonts w:cs="Calibri"/>
          <w:bCs/>
        </w:rPr>
        <w:t xml:space="preserve"> stosowane, co najmniej 24 godz. przed układaniem.</w:t>
      </w:r>
    </w:p>
    <w:p w14:paraId="0F5D81D8"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 xml:space="preserve">Ewentualne wady towaru należy zgłaszać u dystrybutora. Zgłoszenie powinno zawierać kody barw i </w:t>
      </w:r>
      <w:r>
        <w:rPr>
          <w:rFonts w:cs="Calibri"/>
          <w:bCs/>
        </w:rPr>
        <w:t>numer rolki, które są</w:t>
      </w:r>
      <w:r w:rsidRPr="001A22F9">
        <w:rPr>
          <w:rFonts w:cs="Calibri"/>
          <w:bCs/>
        </w:rPr>
        <w:t xml:space="preserve"> umieszczone na etykiecie rolki.</w:t>
      </w:r>
    </w:p>
    <w:p w14:paraId="114B06DA"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Wykładzina powinna być na 24 h przed przyklejeniem rozwinięta z rulonu, pocięta na arkusze odpowiednie do wymiarów pomieszczenia i luźno ułożona na podłożu tak, aby arkusze tworzyły zakłady szerokości 2-3 cm. Arkusze, które po tym czasie nie przylegają dokładnie do podłoża i wykazują deformacje (sfalowanie, pęcherze itp.), nie mogą być przyklejane i powinny być przekazane do dyspozycji dystrybutora jako wadliwe.</w:t>
      </w:r>
    </w:p>
    <w:p w14:paraId="06528256"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 xml:space="preserve">Przed instalacja wykładzina powinna przyjąć temperaturę pomieszczenia (nie niższa ni1 18 ºC). Dopiero wtedy należy przyciąć arkusze wykładziny. W </w:t>
      </w:r>
      <w:r w:rsidR="00D574D1">
        <w:rPr>
          <w:rFonts w:cs="Calibri"/>
          <w:bCs/>
        </w:rPr>
        <w:t>miarę możliwości należy rozłożyć</w:t>
      </w:r>
      <w:r w:rsidRPr="001A22F9">
        <w:rPr>
          <w:rFonts w:cs="Calibri"/>
          <w:bCs/>
        </w:rPr>
        <w:t xml:space="preserve"> je na płaskim podłożu, by materiał pozbył </w:t>
      </w:r>
      <w:proofErr w:type="spellStart"/>
      <w:r w:rsidRPr="001A22F9">
        <w:rPr>
          <w:rFonts w:cs="Calibri"/>
          <w:bCs/>
        </w:rPr>
        <w:t>sie</w:t>
      </w:r>
      <w:proofErr w:type="spellEnd"/>
      <w:r w:rsidRPr="001A22F9">
        <w:rPr>
          <w:rFonts w:cs="Calibri"/>
          <w:bCs/>
        </w:rPr>
        <w:t xml:space="preserve"> </w:t>
      </w:r>
      <w:proofErr w:type="spellStart"/>
      <w:r w:rsidRPr="001A22F9">
        <w:rPr>
          <w:rFonts w:cs="Calibri"/>
          <w:bCs/>
        </w:rPr>
        <w:t>naprężeń</w:t>
      </w:r>
      <w:proofErr w:type="spellEnd"/>
      <w:r w:rsidRPr="001A22F9">
        <w:rPr>
          <w:rFonts w:cs="Calibri"/>
          <w:bCs/>
        </w:rPr>
        <w:t xml:space="preserve"> i przyjął temperaturę pomieszczenia. Jest to szczególnie istotne w przypadku dłu</w:t>
      </w:r>
      <w:r>
        <w:rPr>
          <w:rFonts w:cs="Calibri"/>
          <w:bCs/>
        </w:rPr>
        <w:t>ż</w:t>
      </w:r>
      <w:r w:rsidRPr="001A22F9">
        <w:rPr>
          <w:rFonts w:cs="Calibri"/>
          <w:bCs/>
        </w:rPr>
        <w:t>szych arkuszy.</w:t>
      </w:r>
    </w:p>
    <w:p w14:paraId="265EC601"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Do przyklejania wykładzin należy stosować kleje zalecane przez producenta określonej wykładziny i w instrukcjach technologicznych.</w:t>
      </w:r>
    </w:p>
    <w:p w14:paraId="1CDEE703"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 xml:space="preserve">Kleje dyspersyjne (typu klej </w:t>
      </w:r>
      <w:proofErr w:type="spellStart"/>
      <w:r w:rsidRPr="001A22F9">
        <w:rPr>
          <w:rFonts w:cs="Calibri"/>
          <w:bCs/>
        </w:rPr>
        <w:t>osakrylowy</w:t>
      </w:r>
      <w:proofErr w:type="spellEnd"/>
      <w:r w:rsidRPr="001A22F9">
        <w:rPr>
          <w:rFonts w:cs="Calibri"/>
          <w:bCs/>
        </w:rPr>
        <w:t>) powinny być nanoszone na podkład równomierna warstwa, przy u</w:t>
      </w:r>
      <w:r>
        <w:rPr>
          <w:rFonts w:cs="Calibri"/>
          <w:bCs/>
        </w:rPr>
        <w:t>ż</w:t>
      </w:r>
      <w:r w:rsidRPr="001A22F9">
        <w:rPr>
          <w:rFonts w:cs="Calibri"/>
          <w:bCs/>
        </w:rPr>
        <w:t>yciu packi ząbkowanej.</w:t>
      </w:r>
    </w:p>
    <w:p w14:paraId="2E511EFB"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 xml:space="preserve">Kleje rozpuszczalnikowe kontaktowe (typu klej </w:t>
      </w:r>
      <w:proofErr w:type="spellStart"/>
      <w:r w:rsidRPr="001A22F9">
        <w:rPr>
          <w:rFonts w:cs="Calibri"/>
          <w:bCs/>
        </w:rPr>
        <w:t>Pronikol</w:t>
      </w:r>
      <w:proofErr w:type="spellEnd"/>
      <w:r w:rsidRPr="001A22F9">
        <w:rPr>
          <w:rFonts w:cs="Calibri"/>
          <w:bCs/>
        </w:rPr>
        <w:t>) należy nanosić na podłoże i spód wykładziny za pomocą packi gładkiej. Powinny one zapewniać trwałe polaczenie przyklejanej wykładziny z podło</w:t>
      </w:r>
      <w:r>
        <w:rPr>
          <w:rFonts w:cs="Calibri"/>
          <w:bCs/>
        </w:rPr>
        <w:t>ż</w:t>
      </w:r>
      <w:r w:rsidRPr="001A22F9">
        <w:rPr>
          <w:rFonts w:cs="Calibri"/>
          <w:bCs/>
        </w:rPr>
        <w:t>em oraz nie powinny oddziaływać szkodliwie na podło</w:t>
      </w:r>
      <w:r>
        <w:rPr>
          <w:rFonts w:cs="Calibri"/>
          <w:bCs/>
        </w:rPr>
        <w:t>ż</w:t>
      </w:r>
      <w:r w:rsidRPr="001A22F9">
        <w:rPr>
          <w:rFonts w:cs="Calibri"/>
          <w:bCs/>
        </w:rPr>
        <w:t>e i wykładzinę.</w:t>
      </w:r>
    </w:p>
    <w:p w14:paraId="791E4232"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 xml:space="preserve">Wykładziny powinny być przyklejone do podłoża całą powierzchnią, zapewniając posadzce mocne i trwałe związanie z podłożem. Nie dopuszcza </w:t>
      </w:r>
      <w:proofErr w:type="spellStart"/>
      <w:r w:rsidRPr="001A22F9">
        <w:rPr>
          <w:rFonts w:cs="Calibri"/>
          <w:bCs/>
        </w:rPr>
        <w:t>sie</w:t>
      </w:r>
      <w:proofErr w:type="spellEnd"/>
      <w:r w:rsidRPr="001A22F9">
        <w:rPr>
          <w:rFonts w:cs="Calibri"/>
          <w:bCs/>
        </w:rPr>
        <w:t xml:space="preserve"> występowania na powierzchni posadzki miejsc nieprzyklejonych w postaci fałd, pęcherzy, odstających brzegów arkuszy itp. Wszelkie zanieczyszczenia klejem powierzchni posadzki nale</w:t>
      </w:r>
      <w:r>
        <w:rPr>
          <w:rFonts w:cs="Calibri"/>
          <w:bCs/>
        </w:rPr>
        <w:t>ż</w:t>
      </w:r>
      <w:r w:rsidRPr="001A22F9">
        <w:rPr>
          <w:rFonts w:cs="Calibri"/>
          <w:bCs/>
        </w:rPr>
        <w:t>y niezwłocznie usunąć.</w:t>
      </w:r>
    </w:p>
    <w:p w14:paraId="18DE6F27" w14:textId="77777777" w:rsidR="001A22F9" w:rsidRPr="001A22F9" w:rsidRDefault="00D574D1" w:rsidP="0097696B">
      <w:pPr>
        <w:pStyle w:val="Akapitzlist"/>
        <w:numPr>
          <w:ilvl w:val="0"/>
          <w:numId w:val="3"/>
        </w:numPr>
        <w:spacing w:after="0"/>
        <w:jc w:val="both"/>
        <w:rPr>
          <w:rFonts w:cs="Calibri"/>
          <w:bCs/>
        </w:rPr>
      </w:pPr>
      <w:r>
        <w:rPr>
          <w:rFonts w:cs="Calibri"/>
          <w:bCs/>
        </w:rPr>
        <w:t>Arkusze wykładziny należy ułożyć</w:t>
      </w:r>
      <w:r w:rsidR="001A22F9" w:rsidRPr="001A22F9">
        <w:rPr>
          <w:rFonts w:cs="Calibri"/>
          <w:bCs/>
        </w:rPr>
        <w:t xml:space="preserve"> szczelnie; dopuszczalna szerokość spoin nie powinna być większa ni</w:t>
      </w:r>
      <w:r w:rsidR="001A22F9">
        <w:rPr>
          <w:rFonts w:cs="Calibri"/>
          <w:bCs/>
        </w:rPr>
        <w:t>ż</w:t>
      </w:r>
      <w:r w:rsidR="001A22F9" w:rsidRPr="001A22F9">
        <w:rPr>
          <w:rFonts w:cs="Calibri"/>
          <w:bCs/>
        </w:rPr>
        <w:t xml:space="preserve"> 0,5 mm.</w:t>
      </w:r>
    </w:p>
    <w:p w14:paraId="285AEFBB" w14:textId="77777777" w:rsidR="001A22F9" w:rsidRPr="001A22F9" w:rsidRDefault="001A22F9" w:rsidP="0097696B">
      <w:pPr>
        <w:pStyle w:val="Akapitzlist"/>
        <w:numPr>
          <w:ilvl w:val="0"/>
          <w:numId w:val="3"/>
        </w:numPr>
        <w:spacing w:after="0"/>
        <w:jc w:val="both"/>
        <w:rPr>
          <w:rFonts w:cs="Calibri"/>
          <w:bCs/>
        </w:rPr>
      </w:pPr>
      <w:r w:rsidRPr="001A22F9">
        <w:rPr>
          <w:rFonts w:cs="Calibri"/>
          <w:bCs/>
        </w:rPr>
        <w:t>Powierzchnia posadzki z wykładziny powinna być równa i pozioma. Dopuszczalne nierówności badane przez przyłożenie dwumetrowej łaty kontrolnej w dowolnym kierunku nie powinny być większe niż 5 mm. Dopuszczalne odchylenie powierzchni posadzki od płaszczyzny poziomej nie powinno być większe ni</w:t>
      </w:r>
      <w:r>
        <w:rPr>
          <w:rFonts w:cs="Calibri"/>
          <w:bCs/>
        </w:rPr>
        <w:t>ż</w:t>
      </w:r>
      <w:r w:rsidRPr="001A22F9">
        <w:rPr>
          <w:rFonts w:cs="Calibri"/>
          <w:bCs/>
        </w:rPr>
        <w:t xml:space="preserve"> 2 mm/1m i 5 mm na całej </w:t>
      </w:r>
      <w:r w:rsidR="00233F30" w:rsidRPr="001A22F9">
        <w:rPr>
          <w:rFonts w:cs="Calibri"/>
          <w:bCs/>
        </w:rPr>
        <w:t>długości</w:t>
      </w:r>
      <w:r w:rsidRPr="001A22F9">
        <w:rPr>
          <w:rFonts w:cs="Calibri"/>
          <w:bCs/>
        </w:rPr>
        <w:t xml:space="preserve"> lub </w:t>
      </w:r>
      <w:r w:rsidR="00233F30" w:rsidRPr="001A22F9">
        <w:rPr>
          <w:rFonts w:cs="Calibri"/>
          <w:bCs/>
        </w:rPr>
        <w:t>szerokości</w:t>
      </w:r>
      <w:r w:rsidRPr="001A22F9">
        <w:rPr>
          <w:rFonts w:cs="Calibri"/>
          <w:bCs/>
        </w:rPr>
        <w:t xml:space="preserve"> pomieszczenia.</w:t>
      </w:r>
    </w:p>
    <w:p w14:paraId="43AB9421" w14:textId="77777777" w:rsidR="001A22F9" w:rsidRPr="00233F30" w:rsidRDefault="001A22F9" w:rsidP="0097696B">
      <w:pPr>
        <w:pStyle w:val="Akapitzlist"/>
        <w:numPr>
          <w:ilvl w:val="0"/>
          <w:numId w:val="3"/>
        </w:numPr>
        <w:spacing w:after="0"/>
        <w:jc w:val="both"/>
        <w:rPr>
          <w:rFonts w:cs="Calibri"/>
          <w:bCs/>
        </w:rPr>
      </w:pPr>
      <w:r w:rsidRPr="00233F30">
        <w:rPr>
          <w:rFonts w:cs="Calibri"/>
          <w:bCs/>
        </w:rPr>
        <w:t xml:space="preserve">Aby </w:t>
      </w:r>
      <w:r w:rsidR="00233F30" w:rsidRPr="00233F30">
        <w:rPr>
          <w:rFonts w:cs="Calibri"/>
          <w:bCs/>
        </w:rPr>
        <w:t>uniknąć</w:t>
      </w:r>
      <w:r w:rsidRPr="00233F30">
        <w:rPr>
          <w:rFonts w:cs="Calibri"/>
          <w:bCs/>
        </w:rPr>
        <w:t xml:space="preserve"> ewentualnych ró</w:t>
      </w:r>
      <w:r w:rsidR="00233F30" w:rsidRPr="00233F30">
        <w:rPr>
          <w:rFonts w:cs="Calibri"/>
          <w:bCs/>
        </w:rPr>
        <w:t>ż</w:t>
      </w:r>
      <w:r w:rsidRPr="00233F30">
        <w:rPr>
          <w:rFonts w:cs="Calibri"/>
          <w:bCs/>
        </w:rPr>
        <w:t xml:space="preserve">nic w odcieniach na </w:t>
      </w:r>
      <w:r w:rsidR="00233F30" w:rsidRPr="00233F30">
        <w:rPr>
          <w:rFonts w:cs="Calibri"/>
          <w:bCs/>
        </w:rPr>
        <w:t>krawędziach</w:t>
      </w:r>
      <w:r w:rsidRPr="00233F30">
        <w:rPr>
          <w:rFonts w:cs="Calibri"/>
          <w:bCs/>
        </w:rPr>
        <w:t xml:space="preserve"> </w:t>
      </w:r>
      <w:r w:rsidR="00233F30" w:rsidRPr="00233F30">
        <w:rPr>
          <w:rFonts w:cs="Calibri"/>
          <w:bCs/>
        </w:rPr>
        <w:t>sąsiadujących</w:t>
      </w:r>
      <w:r w:rsidRPr="00233F30">
        <w:rPr>
          <w:rFonts w:cs="Calibri"/>
          <w:bCs/>
        </w:rPr>
        <w:t xml:space="preserve"> ze </w:t>
      </w:r>
      <w:r w:rsidR="00233F30" w:rsidRPr="00233F30">
        <w:rPr>
          <w:rFonts w:cs="Calibri"/>
          <w:bCs/>
        </w:rPr>
        <w:t>sobą</w:t>
      </w:r>
      <w:r w:rsidRPr="00233F30">
        <w:rPr>
          <w:rFonts w:cs="Calibri"/>
          <w:bCs/>
        </w:rPr>
        <w:t xml:space="preserve"> arkuszy</w:t>
      </w:r>
      <w:r w:rsidR="00233F30" w:rsidRPr="00233F30">
        <w:rPr>
          <w:rFonts w:cs="Calibri"/>
          <w:bCs/>
        </w:rPr>
        <w:t xml:space="preserve"> </w:t>
      </w:r>
      <w:r w:rsidRPr="00233F30">
        <w:rPr>
          <w:rFonts w:cs="Calibri"/>
          <w:bCs/>
        </w:rPr>
        <w:t>wykładzin, arkusze nale</w:t>
      </w:r>
      <w:r w:rsidR="00233F30" w:rsidRPr="00233F30">
        <w:rPr>
          <w:rFonts w:cs="Calibri"/>
          <w:bCs/>
        </w:rPr>
        <w:t>ż</w:t>
      </w:r>
      <w:r w:rsidRPr="00233F30">
        <w:rPr>
          <w:rFonts w:cs="Calibri"/>
          <w:bCs/>
        </w:rPr>
        <w:t xml:space="preserve">y </w:t>
      </w:r>
      <w:r w:rsidR="00233F30" w:rsidRPr="00233F30">
        <w:rPr>
          <w:rFonts w:cs="Calibri"/>
          <w:bCs/>
        </w:rPr>
        <w:t>odwracać</w:t>
      </w:r>
      <w:r w:rsidRPr="00233F30">
        <w:rPr>
          <w:rFonts w:cs="Calibri"/>
          <w:bCs/>
        </w:rPr>
        <w:t xml:space="preserve"> tak, by po zamontowaniu wykładziny prawe brzegi fabryczne</w:t>
      </w:r>
      <w:r w:rsidR="00233F30" w:rsidRPr="00233F30">
        <w:rPr>
          <w:rFonts w:cs="Calibri"/>
          <w:bCs/>
        </w:rPr>
        <w:t xml:space="preserve"> sąsiadowały</w:t>
      </w:r>
      <w:r w:rsidRPr="00233F30">
        <w:rPr>
          <w:rFonts w:cs="Calibri"/>
          <w:bCs/>
        </w:rPr>
        <w:t xml:space="preserve"> z prawymi, a lewe z lewymi.</w:t>
      </w:r>
    </w:p>
    <w:p w14:paraId="285E7C7F" w14:textId="77777777" w:rsidR="001A22F9" w:rsidRPr="00233F30" w:rsidRDefault="001A22F9" w:rsidP="0097696B">
      <w:pPr>
        <w:pStyle w:val="Akapitzlist"/>
        <w:numPr>
          <w:ilvl w:val="0"/>
          <w:numId w:val="3"/>
        </w:numPr>
        <w:spacing w:after="0"/>
        <w:jc w:val="both"/>
        <w:rPr>
          <w:rFonts w:cs="Calibri"/>
          <w:bCs/>
        </w:rPr>
      </w:pPr>
      <w:r w:rsidRPr="00233F30">
        <w:rPr>
          <w:rFonts w:cs="Calibri"/>
          <w:bCs/>
        </w:rPr>
        <w:lastRenderedPageBreak/>
        <w:t>W pom</w:t>
      </w:r>
      <w:r w:rsidR="00B41A26">
        <w:rPr>
          <w:rFonts w:cs="Calibri"/>
          <w:bCs/>
        </w:rPr>
        <w:t>ieszczeniach naraż</w:t>
      </w:r>
      <w:r w:rsidRPr="00233F30">
        <w:rPr>
          <w:rFonts w:cs="Calibri"/>
          <w:bCs/>
        </w:rPr>
        <w:t>onych w czasie eksploatacji na zawilgocenie oraz w pomieszczeniach o</w:t>
      </w:r>
      <w:r w:rsidR="00233F30" w:rsidRPr="00233F30">
        <w:rPr>
          <w:rFonts w:cs="Calibri"/>
          <w:bCs/>
        </w:rPr>
        <w:t xml:space="preserve"> </w:t>
      </w:r>
      <w:r w:rsidRPr="00233F30">
        <w:rPr>
          <w:rFonts w:cs="Calibri"/>
          <w:bCs/>
        </w:rPr>
        <w:t xml:space="preserve">wysokich wymaganiach higieniczno-sanitarnych styki miedzy arkuszami wykładzin PCV powinny </w:t>
      </w:r>
      <w:r w:rsidR="00233F30" w:rsidRPr="00233F30">
        <w:rPr>
          <w:rFonts w:cs="Calibri"/>
          <w:bCs/>
        </w:rPr>
        <w:t xml:space="preserve">być </w:t>
      </w:r>
      <w:r w:rsidRPr="00233F30">
        <w:rPr>
          <w:rFonts w:cs="Calibri"/>
          <w:bCs/>
        </w:rPr>
        <w:t>spawane.</w:t>
      </w:r>
    </w:p>
    <w:p w14:paraId="4BDAEB0E" w14:textId="77777777" w:rsidR="001E7B08" w:rsidRPr="00233F30" w:rsidRDefault="001A22F9" w:rsidP="0097696B">
      <w:pPr>
        <w:pStyle w:val="Akapitzlist"/>
        <w:numPr>
          <w:ilvl w:val="0"/>
          <w:numId w:val="3"/>
        </w:numPr>
        <w:spacing w:after="0"/>
        <w:jc w:val="both"/>
        <w:rPr>
          <w:rFonts w:cs="Calibri"/>
          <w:bCs/>
        </w:rPr>
      </w:pPr>
      <w:r w:rsidRPr="00233F30">
        <w:rPr>
          <w:rFonts w:cs="Calibri"/>
          <w:bCs/>
        </w:rPr>
        <w:t xml:space="preserve">Spoiny spawane nie powinny </w:t>
      </w:r>
      <w:r w:rsidR="00233F30" w:rsidRPr="00233F30">
        <w:rPr>
          <w:rFonts w:cs="Calibri"/>
          <w:bCs/>
        </w:rPr>
        <w:t>wykazywać</w:t>
      </w:r>
      <w:r w:rsidRPr="00233F30">
        <w:rPr>
          <w:rFonts w:cs="Calibri"/>
          <w:bCs/>
        </w:rPr>
        <w:t xml:space="preserve"> ubytków, miejscowych zmian barwy i </w:t>
      </w:r>
      <w:r w:rsidR="00233F30" w:rsidRPr="00233F30">
        <w:rPr>
          <w:rFonts w:cs="Calibri"/>
          <w:bCs/>
        </w:rPr>
        <w:t>uszkodzeń</w:t>
      </w:r>
      <w:r w:rsidRPr="00233F30">
        <w:rPr>
          <w:rFonts w:cs="Calibri"/>
          <w:bCs/>
        </w:rPr>
        <w:t xml:space="preserve"> wykładziny</w:t>
      </w:r>
      <w:r w:rsidR="00233F30" w:rsidRPr="00233F30">
        <w:rPr>
          <w:rFonts w:cs="Calibri"/>
          <w:bCs/>
        </w:rPr>
        <w:t xml:space="preserve"> </w:t>
      </w:r>
      <w:r w:rsidRPr="00233F30">
        <w:rPr>
          <w:rFonts w:cs="Calibri"/>
          <w:bCs/>
        </w:rPr>
        <w:t xml:space="preserve">w </w:t>
      </w:r>
      <w:r w:rsidR="00233F30" w:rsidRPr="00233F30">
        <w:rPr>
          <w:rFonts w:cs="Calibri"/>
          <w:bCs/>
        </w:rPr>
        <w:t>obrębie</w:t>
      </w:r>
      <w:r w:rsidRPr="00233F30">
        <w:rPr>
          <w:rFonts w:cs="Calibri"/>
          <w:bCs/>
        </w:rPr>
        <w:t xml:space="preserve"> </w:t>
      </w:r>
      <w:r w:rsidR="00233F30" w:rsidRPr="00233F30">
        <w:rPr>
          <w:rFonts w:cs="Calibri"/>
          <w:bCs/>
        </w:rPr>
        <w:t>złącza</w:t>
      </w:r>
      <w:r w:rsidRPr="00233F30">
        <w:rPr>
          <w:rFonts w:cs="Calibri"/>
          <w:bCs/>
        </w:rPr>
        <w:t xml:space="preserve">, sznur </w:t>
      </w:r>
      <w:r w:rsidR="00233F30" w:rsidRPr="00233F30">
        <w:rPr>
          <w:rFonts w:cs="Calibri"/>
          <w:bCs/>
        </w:rPr>
        <w:t>spawający</w:t>
      </w:r>
      <w:r w:rsidRPr="00233F30">
        <w:rPr>
          <w:rFonts w:cs="Calibri"/>
          <w:bCs/>
        </w:rPr>
        <w:t xml:space="preserve"> nale</w:t>
      </w:r>
      <w:r w:rsidR="00233F30">
        <w:rPr>
          <w:rFonts w:cs="Calibri"/>
          <w:bCs/>
        </w:rPr>
        <w:t>ż</w:t>
      </w:r>
      <w:r w:rsidRPr="00233F30">
        <w:rPr>
          <w:rFonts w:cs="Calibri"/>
          <w:bCs/>
        </w:rPr>
        <w:t xml:space="preserve">y </w:t>
      </w:r>
      <w:r w:rsidR="00233F30" w:rsidRPr="00233F30">
        <w:rPr>
          <w:rFonts w:cs="Calibri"/>
          <w:bCs/>
        </w:rPr>
        <w:t>ściąć</w:t>
      </w:r>
      <w:r w:rsidRPr="00233F30">
        <w:rPr>
          <w:rFonts w:cs="Calibri"/>
          <w:bCs/>
        </w:rPr>
        <w:t xml:space="preserve"> równo z powierzchnia posadzki.</w:t>
      </w:r>
    </w:p>
    <w:p w14:paraId="2878468A" w14:textId="77777777" w:rsidR="00704AC5" w:rsidRPr="00541C93" w:rsidRDefault="00704AC5" w:rsidP="00541C93">
      <w:pPr>
        <w:spacing w:after="0"/>
        <w:ind w:firstLine="708"/>
        <w:jc w:val="both"/>
        <w:rPr>
          <w:rFonts w:cs="Calibri"/>
          <w:b/>
          <w:bCs/>
        </w:rPr>
      </w:pPr>
      <w:r>
        <w:rPr>
          <w:rFonts w:cs="Calibri"/>
          <w:b/>
          <w:bCs/>
        </w:rPr>
        <w:t xml:space="preserve">Posadzki </w:t>
      </w:r>
      <w:r w:rsidR="00C60C3D">
        <w:rPr>
          <w:rFonts w:cs="Calibri"/>
          <w:b/>
          <w:bCs/>
        </w:rPr>
        <w:t xml:space="preserve">cementowe </w:t>
      </w:r>
      <w:r w:rsidR="00753EE9">
        <w:rPr>
          <w:rFonts w:cs="Calibri"/>
          <w:b/>
          <w:bCs/>
        </w:rPr>
        <w:t>– podkład pod warstwy wykończeniowe</w:t>
      </w:r>
    </w:p>
    <w:p w14:paraId="2936D66E" w14:textId="77777777" w:rsidR="00635A4A" w:rsidRPr="00635A4A" w:rsidRDefault="00635A4A" w:rsidP="00635A4A">
      <w:pPr>
        <w:spacing w:after="0"/>
        <w:jc w:val="both"/>
        <w:rPr>
          <w:rFonts w:cs="Calibri"/>
          <w:bCs/>
        </w:rPr>
      </w:pPr>
      <w:r w:rsidRPr="00635A4A">
        <w:rPr>
          <w:rFonts w:cs="Calibri"/>
          <w:bCs/>
        </w:rPr>
        <w:t xml:space="preserve">Przed wykonaniem </w:t>
      </w:r>
      <w:r>
        <w:rPr>
          <w:rFonts w:cs="Calibri"/>
          <w:bCs/>
        </w:rPr>
        <w:t>posadzek</w:t>
      </w:r>
      <w:r w:rsidRPr="00635A4A">
        <w:rPr>
          <w:rFonts w:cs="Calibri"/>
          <w:bCs/>
        </w:rPr>
        <w:t xml:space="preserve"> należy wykonać tzw. dylatacje izolacyjne wzdłuż</w:t>
      </w:r>
      <w:r>
        <w:rPr>
          <w:rFonts w:cs="Calibri"/>
          <w:bCs/>
        </w:rPr>
        <w:t xml:space="preserve"> </w:t>
      </w:r>
      <w:r w:rsidRPr="00635A4A">
        <w:rPr>
          <w:rFonts w:cs="Calibri"/>
          <w:bCs/>
        </w:rPr>
        <w:t xml:space="preserve">ścian i innych konstrukcji poziomych, stykających się z posadzka. Umożliwią one swobodny skurcz zaprawy cementowej. Na dylatacje używa się pasków papy izolacyjnej. Przymocowuje się je do ściany na zaprawę klejowa, zszywkami lub poprzez odpowiednie wyprofilowanie paska i oparcie go o ścianę. </w:t>
      </w:r>
    </w:p>
    <w:p w14:paraId="37CCF993" w14:textId="77777777" w:rsidR="00635A4A" w:rsidRPr="00635A4A" w:rsidRDefault="00635A4A" w:rsidP="00635A4A">
      <w:pPr>
        <w:spacing w:after="0"/>
        <w:jc w:val="both"/>
        <w:rPr>
          <w:rFonts w:cs="Calibri"/>
          <w:bCs/>
        </w:rPr>
      </w:pPr>
      <w:r w:rsidRPr="00635A4A">
        <w:rPr>
          <w:rFonts w:cs="Calibri"/>
          <w:bCs/>
        </w:rPr>
        <w:t>Uzyskanie poziomej płaszczyzny posadzki oraz osiągniecie projektowanej grubości warstwy podłogi wymaga montażu tzw. listew kierunkowych. Zazwyczaj są to drewniane łaty odpowiedniej wysokości lub stalowe rurki c.o. Aby rurki mogły być odzyskane, należy zasklepić w nich otwory oraz nasmarować je środkiem antyadhezyjnym (np. ON), który ułatwi ich późniejsze</w:t>
      </w:r>
      <w:r>
        <w:rPr>
          <w:rFonts w:cs="Calibri"/>
          <w:bCs/>
        </w:rPr>
        <w:t xml:space="preserve"> wyję</w:t>
      </w:r>
      <w:r w:rsidRPr="00635A4A">
        <w:rPr>
          <w:rFonts w:cs="Calibri"/>
          <w:bCs/>
        </w:rPr>
        <w:t xml:space="preserve">cie. </w:t>
      </w:r>
    </w:p>
    <w:p w14:paraId="4D8F5E68" w14:textId="77777777" w:rsidR="00635A4A" w:rsidRPr="00635A4A" w:rsidRDefault="00635A4A" w:rsidP="00635A4A">
      <w:pPr>
        <w:spacing w:after="0"/>
        <w:jc w:val="both"/>
        <w:rPr>
          <w:rFonts w:cs="Calibri"/>
          <w:bCs/>
        </w:rPr>
      </w:pPr>
      <w:r w:rsidRPr="00635A4A">
        <w:rPr>
          <w:rFonts w:cs="Calibri"/>
          <w:bCs/>
        </w:rPr>
        <w:t>Listwy kierunkowe mocujemy w odległości ok. 1,5 m od siebie i ok. 20 cm od ścian, co umożliwi swobodne operowanie łat</w:t>
      </w:r>
      <w:r>
        <w:rPr>
          <w:rFonts w:cs="Calibri"/>
          <w:bCs/>
        </w:rPr>
        <w:t xml:space="preserve">ą </w:t>
      </w:r>
      <w:r w:rsidRPr="00635A4A">
        <w:rPr>
          <w:rFonts w:cs="Calibri"/>
          <w:bCs/>
        </w:rPr>
        <w:t>ściągającą o długości 2 m. Do montażu listew można użyć szybkowiążącej zaprawy. Listwy powinny być osadzone dokładnie na projektowaną wysokość</w:t>
      </w:r>
      <w:r>
        <w:rPr>
          <w:rFonts w:cs="Calibri"/>
          <w:bCs/>
        </w:rPr>
        <w:t>.</w:t>
      </w:r>
      <w:r w:rsidRPr="00635A4A">
        <w:rPr>
          <w:rFonts w:cs="Calibri"/>
          <w:bCs/>
        </w:rPr>
        <w:t xml:space="preserve"> Dzięki nim można uzyskać spadki podłogi, np. do kratki ściekowej. </w:t>
      </w:r>
    </w:p>
    <w:p w14:paraId="1025AC1A" w14:textId="77777777" w:rsidR="00635A4A" w:rsidRPr="00635A4A" w:rsidRDefault="00635A4A" w:rsidP="00635A4A">
      <w:pPr>
        <w:spacing w:after="0"/>
        <w:jc w:val="both"/>
        <w:rPr>
          <w:rFonts w:cs="Calibri"/>
          <w:bCs/>
        </w:rPr>
      </w:pPr>
      <w:r w:rsidRPr="00635A4A">
        <w:rPr>
          <w:rFonts w:cs="Calibri"/>
          <w:bCs/>
        </w:rPr>
        <w:t xml:space="preserve">Po ustabilizowaniu listew, przygotowujemy zasadniczą zaprawę. Można ją urabiać ręcznie, z użyciem mieszadła osadzonego w wiertarce lub mechanicznie w betoniarce. </w:t>
      </w:r>
    </w:p>
    <w:p w14:paraId="10481FA4" w14:textId="77777777" w:rsidR="00635A4A" w:rsidRPr="00635A4A" w:rsidRDefault="00635A4A" w:rsidP="00635A4A">
      <w:pPr>
        <w:spacing w:after="0"/>
        <w:jc w:val="both"/>
        <w:rPr>
          <w:rFonts w:cs="Calibri"/>
          <w:bCs/>
        </w:rPr>
      </w:pPr>
      <w:r w:rsidRPr="00635A4A">
        <w:rPr>
          <w:rFonts w:cs="Calibri"/>
          <w:bCs/>
        </w:rPr>
        <w:t xml:space="preserve">Podczas wykonywania dużych powierzchni posadzek, wygodnym sposobem przygotowywania zaprawy jest wykorzystanie tzw. mieszarki przepływowej. Cechą charakterystyczną urządzenia jest to, że po ustawieniu właściwej konsystencji zaprawy zachowuje ją niezmiennie przez cały okres dalszej pracy. </w:t>
      </w:r>
    </w:p>
    <w:p w14:paraId="39F280EA" w14:textId="77777777" w:rsidR="00704AC5" w:rsidRDefault="00635A4A" w:rsidP="00635A4A">
      <w:pPr>
        <w:spacing w:after="0"/>
        <w:jc w:val="both"/>
        <w:rPr>
          <w:rFonts w:cs="Calibri"/>
          <w:bCs/>
        </w:rPr>
      </w:pPr>
      <w:r w:rsidRPr="00635A4A">
        <w:rPr>
          <w:rFonts w:cs="Calibri"/>
          <w:bCs/>
        </w:rPr>
        <w:t xml:space="preserve">Zaprawę należy równomiernie rozłożyć miedzy listwami i zawibrować styropianowa, drewnianą lub stalową </w:t>
      </w:r>
      <w:r>
        <w:rPr>
          <w:rFonts w:cs="Calibri"/>
          <w:bCs/>
        </w:rPr>
        <w:t xml:space="preserve">pacą </w:t>
      </w:r>
      <w:r w:rsidRPr="00635A4A">
        <w:rPr>
          <w:rFonts w:cs="Calibri"/>
          <w:bCs/>
        </w:rPr>
        <w:t>tak, aby jej nadmiar lekko wystawał ponad poziom listew.</w:t>
      </w:r>
    </w:p>
    <w:p w14:paraId="27485C8A" w14:textId="77777777" w:rsidR="00635A4A" w:rsidRDefault="00635A4A" w:rsidP="00541C93">
      <w:pPr>
        <w:spacing w:after="0"/>
        <w:jc w:val="both"/>
        <w:rPr>
          <w:rFonts w:cs="Calibri"/>
          <w:bCs/>
        </w:rPr>
      </w:pPr>
      <w:r w:rsidRPr="00635A4A">
        <w:rPr>
          <w:rFonts w:cs="Calibri"/>
          <w:bCs/>
        </w:rPr>
        <w:t>Po ok. 1-2 godzinach od ukończenia pracy na listwach, gdy można wejść na posadzkę, usuwamy listwy i dokładnie wyrównujemy powierzchnie</w:t>
      </w:r>
      <w:r>
        <w:rPr>
          <w:rFonts w:cs="Calibri"/>
          <w:bCs/>
        </w:rPr>
        <w:t>.</w:t>
      </w:r>
      <w:r w:rsidRPr="00635A4A">
        <w:rPr>
          <w:rFonts w:cs="Calibri"/>
          <w:bCs/>
        </w:rPr>
        <w:t xml:space="preserve"> Miejsca po rurkach uzupełniamy świeżą zaprawą i zacieramy </w:t>
      </w:r>
      <w:r w:rsidR="00541C93">
        <w:rPr>
          <w:rFonts w:cs="Calibri"/>
          <w:bCs/>
        </w:rPr>
        <w:t>pacą.</w:t>
      </w:r>
    </w:p>
    <w:p w14:paraId="1E12D135" w14:textId="77777777" w:rsidR="00635A4A" w:rsidRPr="00541C93" w:rsidRDefault="00635A4A" w:rsidP="00541C93">
      <w:pPr>
        <w:spacing w:after="0"/>
        <w:ind w:firstLine="708"/>
        <w:jc w:val="both"/>
        <w:rPr>
          <w:rFonts w:cs="Calibri"/>
          <w:b/>
          <w:bCs/>
        </w:rPr>
      </w:pPr>
      <w:r w:rsidRPr="00541C93">
        <w:rPr>
          <w:rFonts w:cs="Calibri"/>
          <w:b/>
          <w:bCs/>
        </w:rPr>
        <w:t xml:space="preserve">Wykonywanie i wyrównanie podkładów podłogowych z wykorzystaniem mas </w:t>
      </w:r>
      <w:r w:rsidR="00541C93" w:rsidRPr="00541C93">
        <w:rPr>
          <w:rFonts w:cs="Calibri"/>
          <w:b/>
          <w:bCs/>
        </w:rPr>
        <w:t>samopoziomujących</w:t>
      </w:r>
      <w:r w:rsidRPr="00541C93">
        <w:rPr>
          <w:rFonts w:cs="Calibri"/>
          <w:b/>
          <w:bCs/>
        </w:rPr>
        <w:t xml:space="preserve"> </w:t>
      </w:r>
    </w:p>
    <w:p w14:paraId="52F0A523" w14:textId="77777777" w:rsidR="00635A4A" w:rsidRPr="00635A4A" w:rsidRDefault="00635A4A" w:rsidP="00541C93">
      <w:pPr>
        <w:spacing w:after="0"/>
        <w:jc w:val="both"/>
        <w:rPr>
          <w:rFonts w:cs="Calibri"/>
          <w:bCs/>
        </w:rPr>
      </w:pPr>
      <w:r w:rsidRPr="00635A4A">
        <w:rPr>
          <w:rFonts w:cs="Calibri"/>
          <w:bCs/>
        </w:rPr>
        <w:t xml:space="preserve">Cienkowarstwowe zaprawy </w:t>
      </w:r>
      <w:r w:rsidR="00541C93" w:rsidRPr="00635A4A">
        <w:rPr>
          <w:rFonts w:cs="Calibri"/>
          <w:bCs/>
        </w:rPr>
        <w:t>samopoziomujące</w:t>
      </w:r>
      <w:r w:rsidRPr="00635A4A">
        <w:rPr>
          <w:rFonts w:cs="Calibri"/>
          <w:bCs/>
        </w:rPr>
        <w:t xml:space="preserve"> wytwarzane są na bazie wysokogatunkowych cementów i wypełniaczy mineralnych. Charakteryzują się bardzo dobrą </w:t>
      </w:r>
      <w:r w:rsidR="00541C93" w:rsidRPr="00635A4A">
        <w:rPr>
          <w:rFonts w:cs="Calibri"/>
          <w:bCs/>
        </w:rPr>
        <w:t>rozlewnością</w:t>
      </w:r>
      <w:r w:rsidRPr="00635A4A">
        <w:rPr>
          <w:rFonts w:cs="Calibri"/>
          <w:bCs/>
        </w:rPr>
        <w:t xml:space="preserve">, </w:t>
      </w:r>
      <w:r w:rsidR="00541C93" w:rsidRPr="00635A4A">
        <w:rPr>
          <w:rFonts w:cs="Calibri"/>
          <w:bCs/>
        </w:rPr>
        <w:t>przyczepnością</w:t>
      </w:r>
      <w:r w:rsidRPr="00635A4A">
        <w:rPr>
          <w:rFonts w:cs="Calibri"/>
          <w:bCs/>
        </w:rPr>
        <w:t xml:space="preserve"> do podłoża oraz doskonałymi parametrami </w:t>
      </w:r>
      <w:r w:rsidR="00541C93">
        <w:rPr>
          <w:rFonts w:cs="Calibri"/>
          <w:bCs/>
        </w:rPr>
        <w:t>wytrzymałościowymi.</w:t>
      </w:r>
    </w:p>
    <w:p w14:paraId="74FC031B" w14:textId="77777777" w:rsidR="00635A4A" w:rsidRPr="00635A4A" w:rsidRDefault="00635A4A" w:rsidP="00635A4A">
      <w:pPr>
        <w:spacing w:after="0"/>
        <w:jc w:val="both"/>
        <w:rPr>
          <w:rFonts w:cs="Calibri"/>
          <w:bCs/>
        </w:rPr>
      </w:pPr>
      <w:r w:rsidRPr="00635A4A">
        <w:rPr>
          <w:rFonts w:cs="Calibri"/>
          <w:bCs/>
        </w:rPr>
        <w:t xml:space="preserve">Podłoże powinno być mocne i dokładnie oczyszczone. </w:t>
      </w:r>
    </w:p>
    <w:p w14:paraId="03102962" w14:textId="77777777" w:rsidR="00635A4A" w:rsidRPr="00635A4A" w:rsidRDefault="00635A4A" w:rsidP="00541C93">
      <w:pPr>
        <w:spacing w:after="0"/>
        <w:jc w:val="both"/>
        <w:rPr>
          <w:rFonts w:cs="Calibri"/>
          <w:bCs/>
        </w:rPr>
      </w:pPr>
      <w:r w:rsidRPr="00635A4A">
        <w:rPr>
          <w:rFonts w:cs="Calibri"/>
          <w:bCs/>
        </w:rPr>
        <w:t xml:space="preserve">Miejscowe zgrubienia podłoża oraz </w:t>
      </w:r>
      <w:r w:rsidR="00541C93" w:rsidRPr="00635A4A">
        <w:rPr>
          <w:rFonts w:cs="Calibri"/>
          <w:bCs/>
        </w:rPr>
        <w:t>zbędne</w:t>
      </w:r>
      <w:r w:rsidRPr="00635A4A">
        <w:rPr>
          <w:rFonts w:cs="Calibri"/>
          <w:bCs/>
        </w:rPr>
        <w:t xml:space="preserve"> elementy </w:t>
      </w:r>
      <w:r w:rsidR="00541C93" w:rsidRPr="00635A4A">
        <w:rPr>
          <w:rFonts w:cs="Calibri"/>
          <w:bCs/>
        </w:rPr>
        <w:t>wystające</w:t>
      </w:r>
      <w:r w:rsidRPr="00635A4A">
        <w:rPr>
          <w:rFonts w:cs="Calibri"/>
          <w:bCs/>
        </w:rPr>
        <w:t xml:space="preserve">, np. uszy płyt stropowych, druty itp. -należy </w:t>
      </w:r>
      <w:r w:rsidR="00541C93" w:rsidRPr="00635A4A">
        <w:rPr>
          <w:rFonts w:cs="Calibri"/>
          <w:bCs/>
        </w:rPr>
        <w:t>zlikwidować</w:t>
      </w:r>
      <w:r w:rsidR="00541C93">
        <w:rPr>
          <w:rFonts w:cs="Calibri"/>
          <w:bCs/>
        </w:rPr>
        <w:t>.</w:t>
      </w:r>
      <w:r w:rsidRPr="00635A4A">
        <w:rPr>
          <w:rFonts w:cs="Calibri"/>
          <w:bCs/>
        </w:rPr>
        <w:t xml:space="preserve"> </w:t>
      </w:r>
    </w:p>
    <w:p w14:paraId="1E1050C5" w14:textId="77777777" w:rsidR="00635A4A" w:rsidRPr="00635A4A" w:rsidRDefault="00635A4A" w:rsidP="00A10517">
      <w:pPr>
        <w:spacing w:after="0"/>
        <w:jc w:val="both"/>
        <w:rPr>
          <w:rFonts w:cs="Calibri"/>
          <w:bCs/>
        </w:rPr>
      </w:pPr>
      <w:r w:rsidRPr="00635A4A">
        <w:rPr>
          <w:rFonts w:cs="Calibri"/>
          <w:bCs/>
        </w:rPr>
        <w:t xml:space="preserve">Po dokładnym oczyszczeniu podłoża, całą powierzchnię należy zagruntować emulsją </w:t>
      </w:r>
      <w:r w:rsidR="00541C93" w:rsidRPr="00635A4A">
        <w:rPr>
          <w:rFonts w:cs="Calibri"/>
          <w:bCs/>
        </w:rPr>
        <w:t>gruntująca</w:t>
      </w:r>
      <w:r w:rsidRPr="00635A4A">
        <w:rPr>
          <w:rFonts w:cs="Calibri"/>
          <w:bCs/>
        </w:rPr>
        <w:t xml:space="preserve">, która wzmocni powierzchnie, </w:t>
      </w:r>
      <w:r w:rsidR="00A10517" w:rsidRPr="00635A4A">
        <w:rPr>
          <w:rFonts w:cs="Calibri"/>
          <w:bCs/>
        </w:rPr>
        <w:t>zwiększy</w:t>
      </w:r>
      <w:r w:rsidRPr="00635A4A">
        <w:rPr>
          <w:rFonts w:cs="Calibri"/>
          <w:bCs/>
        </w:rPr>
        <w:t xml:space="preserve"> jej </w:t>
      </w:r>
      <w:r w:rsidR="00A10517" w:rsidRPr="00635A4A">
        <w:rPr>
          <w:rFonts w:cs="Calibri"/>
          <w:bCs/>
        </w:rPr>
        <w:t>przyczepność</w:t>
      </w:r>
      <w:r w:rsidRPr="00635A4A">
        <w:rPr>
          <w:rFonts w:cs="Calibri"/>
          <w:bCs/>
        </w:rPr>
        <w:t xml:space="preserve"> oraz ograniczy </w:t>
      </w:r>
      <w:r w:rsidR="00A10517" w:rsidRPr="00635A4A">
        <w:rPr>
          <w:rFonts w:cs="Calibri"/>
          <w:bCs/>
        </w:rPr>
        <w:t>chłonność</w:t>
      </w:r>
      <w:r w:rsidRPr="00635A4A">
        <w:rPr>
          <w:rFonts w:cs="Calibri"/>
          <w:bCs/>
        </w:rPr>
        <w:t xml:space="preserve"> podłoża </w:t>
      </w:r>
    </w:p>
    <w:p w14:paraId="72F769EF" w14:textId="77777777" w:rsidR="00635A4A" w:rsidRPr="00635A4A" w:rsidRDefault="00A10517" w:rsidP="00A10517">
      <w:pPr>
        <w:spacing w:after="0"/>
        <w:jc w:val="both"/>
        <w:rPr>
          <w:rFonts w:cs="Calibri"/>
          <w:bCs/>
        </w:rPr>
      </w:pPr>
      <w:r w:rsidRPr="00635A4A">
        <w:rPr>
          <w:rFonts w:cs="Calibri"/>
          <w:bCs/>
        </w:rPr>
        <w:t>Większe</w:t>
      </w:r>
      <w:r w:rsidR="00635A4A" w:rsidRPr="00635A4A">
        <w:rPr>
          <w:rFonts w:cs="Calibri"/>
          <w:bCs/>
        </w:rPr>
        <w:t xml:space="preserve"> ubytki, dziury i </w:t>
      </w:r>
      <w:r w:rsidRPr="00635A4A">
        <w:rPr>
          <w:rFonts w:cs="Calibri"/>
          <w:bCs/>
        </w:rPr>
        <w:t>spękania</w:t>
      </w:r>
      <w:r w:rsidR="00635A4A" w:rsidRPr="00635A4A">
        <w:rPr>
          <w:rFonts w:cs="Calibri"/>
          <w:bCs/>
        </w:rPr>
        <w:t xml:space="preserve"> podłoża należy </w:t>
      </w:r>
      <w:r w:rsidRPr="00635A4A">
        <w:rPr>
          <w:rFonts w:cs="Calibri"/>
          <w:bCs/>
        </w:rPr>
        <w:t>wyrównać</w:t>
      </w:r>
      <w:r w:rsidR="00635A4A" w:rsidRPr="00635A4A">
        <w:rPr>
          <w:rFonts w:cs="Calibri"/>
          <w:bCs/>
        </w:rPr>
        <w:t xml:space="preserve"> </w:t>
      </w:r>
    </w:p>
    <w:p w14:paraId="18A7FAE6" w14:textId="77777777" w:rsidR="00635A4A" w:rsidRPr="00635A4A" w:rsidRDefault="00635A4A" w:rsidP="00A10517">
      <w:pPr>
        <w:spacing w:after="0"/>
        <w:jc w:val="both"/>
        <w:rPr>
          <w:rFonts w:cs="Calibri"/>
          <w:bCs/>
        </w:rPr>
      </w:pPr>
      <w:r w:rsidRPr="00635A4A">
        <w:rPr>
          <w:rFonts w:cs="Calibri"/>
          <w:bCs/>
        </w:rPr>
        <w:t xml:space="preserve">W przypadku wykonywania podkładu cienkowarstwowego na podłożach słabych lub zaolejonych, można zastosować dodatkowe wzmocnienie podkładu siatką z włókna szklanego </w:t>
      </w:r>
    </w:p>
    <w:p w14:paraId="7F5113CE" w14:textId="77777777" w:rsidR="00635A4A" w:rsidRPr="00635A4A" w:rsidRDefault="00635A4A" w:rsidP="00A10517">
      <w:pPr>
        <w:spacing w:after="0"/>
        <w:jc w:val="both"/>
        <w:rPr>
          <w:rFonts w:cs="Calibri"/>
          <w:bCs/>
        </w:rPr>
      </w:pPr>
      <w:r w:rsidRPr="00635A4A">
        <w:rPr>
          <w:rFonts w:cs="Calibri"/>
          <w:bCs/>
        </w:rPr>
        <w:t xml:space="preserve">Wylewanie zaprawy równoległymi do </w:t>
      </w:r>
      <w:r w:rsidR="00A10517" w:rsidRPr="00635A4A">
        <w:rPr>
          <w:rFonts w:cs="Calibri"/>
          <w:bCs/>
        </w:rPr>
        <w:t>ściany</w:t>
      </w:r>
      <w:r w:rsidRPr="00635A4A">
        <w:rPr>
          <w:rFonts w:cs="Calibri"/>
          <w:bCs/>
        </w:rPr>
        <w:t xml:space="preserve"> pasami wykonujemy stopniowo na całej powierzchni pomieszczenia. Odpowietrzanie zaprawy można te. wykonać za pomocą specjalnych walców </w:t>
      </w:r>
      <w:r w:rsidR="00A10517" w:rsidRPr="00635A4A">
        <w:rPr>
          <w:rFonts w:cs="Calibri"/>
          <w:bCs/>
        </w:rPr>
        <w:t>odpowietrzających</w:t>
      </w:r>
      <w:r w:rsidRPr="00635A4A">
        <w:rPr>
          <w:rFonts w:cs="Calibri"/>
          <w:bCs/>
        </w:rPr>
        <w:t xml:space="preserve">. </w:t>
      </w:r>
    </w:p>
    <w:p w14:paraId="6471C643" w14:textId="2895FDFD" w:rsidR="00635A4A" w:rsidRDefault="00635A4A" w:rsidP="00A10517">
      <w:pPr>
        <w:spacing w:after="0"/>
        <w:jc w:val="both"/>
        <w:rPr>
          <w:rFonts w:cs="Calibri"/>
          <w:bCs/>
        </w:rPr>
      </w:pPr>
      <w:r w:rsidRPr="00635A4A">
        <w:rPr>
          <w:rFonts w:cs="Calibri"/>
          <w:bCs/>
        </w:rPr>
        <w:lastRenderedPageBreak/>
        <w:t xml:space="preserve">Gotowa powierzchnia powinna być </w:t>
      </w:r>
      <w:r w:rsidR="00A10517" w:rsidRPr="00635A4A">
        <w:rPr>
          <w:rFonts w:cs="Calibri"/>
          <w:bCs/>
        </w:rPr>
        <w:t>wyłączona</w:t>
      </w:r>
      <w:r w:rsidRPr="00635A4A">
        <w:rPr>
          <w:rFonts w:cs="Calibri"/>
          <w:bCs/>
        </w:rPr>
        <w:t xml:space="preserve"> z ruchu na czas ok. 6 do 10 godz., w </w:t>
      </w:r>
      <w:r w:rsidR="00A10517" w:rsidRPr="00635A4A">
        <w:rPr>
          <w:rFonts w:cs="Calibri"/>
          <w:bCs/>
        </w:rPr>
        <w:t>zależności</w:t>
      </w:r>
      <w:r w:rsidRPr="00635A4A">
        <w:rPr>
          <w:rFonts w:cs="Calibri"/>
          <w:bCs/>
        </w:rPr>
        <w:t xml:space="preserve"> od zastosowanej zaprawy </w:t>
      </w:r>
      <w:r w:rsidR="00A10517" w:rsidRPr="00635A4A">
        <w:rPr>
          <w:rFonts w:cs="Calibri"/>
          <w:bCs/>
        </w:rPr>
        <w:t>samopoziomującej</w:t>
      </w:r>
      <w:r w:rsidR="00D52013">
        <w:rPr>
          <w:rFonts w:cs="Calibri"/>
          <w:bCs/>
        </w:rPr>
        <w:t>.</w:t>
      </w:r>
    </w:p>
    <w:p w14:paraId="1D3D94B3" w14:textId="4D3F94C5" w:rsidR="0046730B" w:rsidRPr="0046730B" w:rsidRDefault="0046730B" w:rsidP="0046730B">
      <w:pPr>
        <w:spacing w:after="0"/>
        <w:ind w:firstLine="708"/>
        <w:jc w:val="both"/>
        <w:rPr>
          <w:rFonts w:cs="Calibri"/>
          <w:b/>
          <w:bCs/>
        </w:rPr>
      </w:pPr>
      <w:r w:rsidRPr="0046730B">
        <w:rPr>
          <w:rFonts w:cs="Calibri"/>
          <w:b/>
          <w:bCs/>
        </w:rPr>
        <w:t>Posadzki epoksydowe</w:t>
      </w:r>
    </w:p>
    <w:p w14:paraId="1B3B1938" w14:textId="4B2D29F9" w:rsidR="0046730B" w:rsidRDefault="00105B9B" w:rsidP="00A10517">
      <w:pPr>
        <w:spacing w:after="0"/>
        <w:jc w:val="both"/>
        <w:rPr>
          <w:rFonts w:cs="Calibri"/>
          <w:bCs/>
        </w:rPr>
      </w:pPr>
      <w:r>
        <w:rPr>
          <w:rFonts w:cs="Calibri"/>
          <w:bCs/>
        </w:rPr>
        <w:t xml:space="preserve">Istniejące posadzki żywiczne należy usunąć, podłoże oczyścić, usunąć luźne warstwy posadzki. </w:t>
      </w:r>
    </w:p>
    <w:p w14:paraId="1EB01465" w14:textId="07A2628C" w:rsidR="00105B9B" w:rsidRDefault="00105B9B" w:rsidP="00A10517">
      <w:pPr>
        <w:spacing w:after="0"/>
        <w:jc w:val="both"/>
        <w:rPr>
          <w:rFonts w:cs="Calibri"/>
          <w:bCs/>
        </w:rPr>
      </w:pPr>
      <w:r>
        <w:rPr>
          <w:rFonts w:cs="Calibri"/>
          <w:bCs/>
        </w:rPr>
        <w:t>Odpylone i oczyszczone podłoże należy wyrównać/wzmocnić za pomocą zapraw cementowych.</w:t>
      </w:r>
    </w:p>
    <w:p w14:paraId="7BAB5093" w14:textId="62D1991F" w:rsidR="00105B9B" w:rsidRDefault="00105B9B" w:rsidP="00A10517">
      <w:pPr>
        <w:spacing w:after="0"/>
        <w:jc w:val="both"/>
        <w:rPr>
          <w:rFonts w:cs="Calibri"/>
          <w:bCs/>
        </w:rPr>
      </w:pPr>
      <w:r>
        <w:rPr>
          <w:rFonts w:cs="Calibri"/>
          <w:bCs/>
        </w:rPr>
        <w:t>Otwory po zdemontowanych płytach przykrywających kanały należy uzupełnić prefabrykowanymi płytami żelbetowymi.</w:t>
      </w:r>
    </w:p>
    <w:p w14:paraId="1DEC214A" w14:textId="6353613C" w:rsidR="00105B9B" w:rsidRDefault="00EA2D01" w:rsidP="00A10517">
      <w:pPr>
        <w:spacing w:after="0"/>
        <w:jc w:val="both"/>
      </w:pPr>
      <w:r>
        <w:t>Przed aplikacją żywicy podłoże betonowe należy dokładnie oczyścić i odtłuścić. Aplikacje żywicy należy wykonywać w warunkach wilgotnościowo – temperaturowych przewidzianych przez producenta. Podkład betonowy zagruntować żywicą, aż do osiągnięcia pełnego nasycenia. Warstwę zasadniczą rozprowadzić przy użyciu stalowej pacy ząbkowanej i odpowietrzyć wałkiem kolczastym.</w:t>
      </w:r>
    </w:p>
    <w:p w14:paraId="2531D533" w14:textId="77777777" w:rsidR="00EA2D01" w:rsidRPr="00EA2D01" w:rsidRDefault="00EA2D01" w:rsidP="00EA2D01">
      <w:pPr>
        <w:spacing w:after="0"/>
        <w:jc w:val="both"/>
        <w:rPr>
          <w:rFonts w:cs="Calibri"/>
          <w:bCs/>
        </w:rPr>
      </w:pPr>
      <w:r w:rsidRPr="00EA2D01">
        <w:rPr>
          <w:rFonts w:cs="Calibri"/>
          <w:bCs/>
        </w:rPr>
        <w:t>Elementy składowe systemu</w:t>
      </w:r>
    </w:p>
    <w:p w14:paraId="03CCD601" w14:textId="77777777" w:rsidR="00EA2D01" w:rsidRPr="00EA2D01" w:rsidRDefault="00EA2D01" w:rsidP="00EA2D01">
      <w:pPr>
        <w:spacing w:after="0"/>
        <w:jc w:val="both"/>
        <w:rPr>
          <w:rFonts w:cs="Calibri"/>
          <w:bCs/>
        </w:rPr>
      </w:pPr>
      <w:r w:rsidRPr="00EA2D01">
        <w:rPr>
          <w:rFonts w:cs="Calibri"/>
          <w:bCs/>
        </w:rPr>
        <w:t>• Warstwa gruntująca standardowa</w:t>
      </w:r>
    </w:p>
    <w:p w14:paraId="643A9AFC" w14:textId="77777777" w:rsidR="00EA2D01" w:rsidRPr="00EA2D01" w:rsidRDefault="00EA2D01" w:rsidP="00EA2D01">
      <w:pPr>
        <w:spacing w:after="0"/>
        <w:jc w:val="both"/>
        <w:rPr>
          <w:rFonts w:cs="Calibri"/>
          <w:bCs/>
        </w:rPr>
      </w:pPr>
      <w:r w:rsidRPr="00EA2D01">
        <w:rPr>
          <w:rFonts w:cs="Calibri"/>
          <w:bCs/>
        </w:rPr>
        <w:t>• Warstwa zasadnicza</w:t>
      </w:r>
    </w:p>
    <w:p w14:paraId="10C6317D" w14:textId="5DE5DF17" w:rsidR="00EA2D01" w:rsidRDefault="00EA2D01" w:rsidP="00EA2D01">
      <w:pPr>
        <w:spacing w:after="0"/>
        <w:jc w:val="both"/>
        <w:rPr>
          <w:rFonts w:cs="Calibri"/>
          <w:bCs/>
        </w:rPr>
      </w:pPr>
      <w:r w:rsidRPr="00EA2D01">
        <w:rPr>
          <w:rFonts w:cs="Calibri"/>
          <w:bCs/>
        </w:rPr>
        <w:t>• Warstwa wykończeniowa</w:t>
      </w:r>
    </w:p>
    <w:p w14:paraId="56AC5351" w14:textId="3900E17F" w:rsidR="00EA2D01" w:rsidRDefault="00EA2D01" w:rsidP="00EA2D01">
      <w:pPr>
        <w:spacing w:after="0"/>
        <w:jc w:val="both"/>
      </w:pPr>
      <w:r>
        <w:t>Podłoże betonowe musi być stabilne i odpowiednio nośne pod docelowe obciążenia statyczne i dynamiczne – beton co najmniej klasy C20/25 o minimalnej wytrzymałości na zrywanie 1,5 N/mm2. Dopuszczalna wilgotność podłoża nie może przekraczać 4% wag. Podłoże musi mieć szczelną izolację poziomą, zabezpieczającą przed wilgocią podciąganą kapilarnie. Powierzchnie przeznaczone do zabezpieczenia powłokami epoksydowymi muszą być czyste oraz chłonne. Mleczko cementowe, wszelkiego rodzaju zabrudzenia oraz stare powłoki zabezpieczające należy usunąć mechanicznie poprzez szlifowanie, śrutowanie lub frezowanie.</w:t>
      </w:r>
    </w:p>
    <w:p w14:paraId="1253B748" w14:textId="79EE1233" w:rsidR="00EA2D01" w:rsidRPr="00EA2D01" w:rsidRDefault="00EA2D01" w:rsidP="00EA2D01">
      <w:pPr>
        <w:spacing w:after="0"/>
        <w:jc w:val="both"/>
        <w:rPr>
          <w:rFonts w:cs="Calibri"/>
          <w:bCs/>
        </w:rPr>
      </w:pPr>
      <w:r w:rsidRPr="00EA2D01">
        <w:rPr>
          <w:rFonts w:cs="Calibri"/>
          <w:bCs/>
        </w:rPr>
        <w:t>Aplikacja materiałów wchodzących w skład systemu musi być przeprowadzana w</w:t>
      </w:r>
      <w:r>
        <w:rPr>
          <w:rFonts w:cs="Calibri"/>
          <w:bCs/>
        </w:rPr>
        <w:t xml:space="preserve"> </w:t>
      </w:r>
      <w:r w:rsidRPr="00EA2D01">
        <w:rPr>
          <w:rFonts w:cs="Calibri"/>
          <w:bCs/>
        </w:rPr>
        <w:t>warunkach:</w:t>
      </w:r>
    </w:p>
    <w:p w14:paraId="30AAFA0F" w14:textId="77777777" w:rsidR="00EA2D01" w:rsidRPr="00EA2D01" w:rsidRDefault="00EA2D01" w:rsidP="00EA2D01">
      <w:pPr>
        <w:spacing w:after="0"/>
        <w:jc w:val="both"/>
        <w:rPr>
          <w:rFonts w:cs="Calibri"/>
          <w:bCs/>
        </w:rPr>
      </w:pPr>
      <w:r w:rsidRPr="00EA2D01">
        <w:rPr>
          <w:rFonts w:cs="Calibri"/>
          <w:bCs/>
        </w:rPr>
        <w:t>• temperatura podłoża – min.+10˚C</w:t>
      </w:r>
    </w:p>
    <w:p w14:paraId="2A47CE11" w14:textId="77777777" w:rsidR="00EA2D01" w:rsidRPr="00EA2D01" w:rsidRDefault="00EA2D01" w:rsidP="00EA2D01">
      <w:pPr>
        <w:spacing w:after="0"/>
        <w:jc w:val="both"/>
        <w:rPr>
          <w:rFonts w:cs="Calibri"/>
          <w:bCs/>
        </w:rPr>
      </w:pPr>
      <w:r w:rsidRPr="00EA2D01">
        <w:rPr>
          <w:rFonts w:cs="Calibri"/>
          <w:bCs/>
        </w:rPr>
        <w:t>• wilgotność powietrza – max. 75%</w:t>
      </w:r>
    </w:p>
    <w:p w14:paraId="19C88F60" w14:textId="77777777" w:rsidR="00EA2D01" w:rsidRDefault="00EA2D01" w:rsidP="00EA2D01">
      <w:pPr>
        <w:spacing w:after="0"/>
        <w:jc w:val="both"/>
      </w:pPr>
      <w:r w:rsidRPr="00EA2D01">
        <w:rPr>
          <w:rFonts w:cs="Calibri"/>
          <w:bCs/>
        </w:rPr>
        <w:t>Należy zwrócić szczególną uwagę, aby temperatura podłoża była wyższa o co najmniej</w:t>
      </w:r>
      <w:r>
        <w:rPr>
          <w:rFonts w:cs="Calibri"/>
          <w:bCs/>
        </w:rPr>
        <w:t xml:space="preserve"> </w:t>
      </w:r>
      <w:r w:rsidRPr="00EA2D01">
        <w:rPr>
          <w:rFonts w:cs="Calibri"/>
          <w:bCs/>
        </w:rPr>
        <w:t>3˚C od temperatury punktu rosy.</w:t>
      </w:r>
      <w:r w:rsidRPr="00EA2D01">
        <w:rPr>
          <w:rFonts w:cs="Calibri"/>
          <w:bCs/>
        </w:rPr>
        <w:cr/>
      </w:r>
      <w:r>
        <w:t xml:space="preserve">Warstwa gruntująca </w:t>
      </w:r>
    </w:p>
    <w:p w14:paraId="71D7947C" w14:textId="3E3120F4" w:rsidR="00EA2D01" w:rsidRDefault="00EA2D01" w:rsidP="00EA2D01">
      <w:pPr>
        <w:spacing w:after="0"/>
        <w:jc w:val="both"/>
      </w:pPr>
      <w:r>
        <w:t xml:space="preserve">Prawidłowo wymieszany materiał należy rozprowadzić na podłożu betonowym w jednej lub dwóch warstwach przy użyciu gumowej rakli i następnie wałka, aż do uzyskania stanu pełnego nasycenia. Następnie powierzchnię równomiernie zasypać naturalnym kruszywem kwarcowym o frakcji 0,2 0,8 mm w ilo ‐ </w:t>
      </w:r>
      <w:proofErr w:type="spellStart"/>
      <w:r>
        <w:t>ści</w:t>
      </w:r>
      <w:proofErr w:type="spellEnd"/>
      <w:r>
        <w:t xml:space="preserve"> ok. 1,00 kg/m2 – luźny zasyp. Po polimeryzacji powierzchnię delikatnie przeszlifować szlifierką mechaniczną z papierem ściernym i całość dokładnie odkurzyć.</w:t>
      </w:r>
    </w:p>
    <w:p w14:paraId="110EEAC4" w14:textId="77777777" w:rsidR="00EA2D01" w:rsidRDefault="00EA2D01" w:rsidP="00EA2D01">
      <w:pPr>
        <w:spacing w:after="0"/>
        <w:jc w:val="both"/>
      </w:pPr>
      <w:r>
        <w:t xml:space="preserve">Warstwa zasadnicza </w:t>
      </w:r>
    </w:p>
    <w:p w14:paraId="7DCA0AA0" w14:textId="36CF5AA8" w:rsidR="00EA2D01" w:rsidRDefault="00EA2D01" w:rsidP="00EA2D01">
      <w:pPr>
        <w:spacing w:after="0"/>
        <w:jc w:val="both"/>
      </w:pPr>
      <w:r>
        <w:t>Materiał zasadniczy wymieszany w proporcji 1:1 z naturalnym kruszywem kwarcowym należy równomiernie rozłożyć na podłożu za pomocą stalowej pacy, pozostawiając na jego powierzchni jednolitą warstwę wypełniającą pory oraz niwelującą drobne nierówności. Następnie powierzchnię równomiernie zasypać barwionym kruszywem kwarcowym o frakcji 0,8 do 1,2 mm w ilości ok. 3,0 kg/m2 -pełny zasyp. Uzyskaną warstwę należy dokładnie zatrzeć przy użyciu lekkiej zacieraczki mechanicznej. Po polimeryzacji powierzchnię delikatnie przeszlifować szlifierką mechaniczną z papierem ściernym i całość dokładnie odkurzyć.</w:t>
      </w:r>
    </w:p>
    <w:p w14:paraId="36078664" w14:textId="77777777" w:rsidR="00EA2D01" w:rsidRDefault="00EA2D01" w:rsidP="00EA2D01">
      <w:pPr>
        <w:spacing w:after="0"/>
        <w:jc w:val="both"/>
      </w:pPr>
      <w:r>
        <w:t xml:space="preserve">Warstwa wykończeniowa </w:t>
      </w:r>
    </w:p>
    <w:p w14:paraId="4BD5BF77" w14:textId="7CD943B6" w:rsidR="00EA2D01" w:rsidRDefault="00EA2D01" w:rsidP="00EA2D01">
      <w:pPr>
        <w:spacing w:after="0"/>
        <w:jc w:val="both"/>
        <w:rPr>
          <w:rFonts w:cs="Calibri"/>
          <w:bCs/>
        </w:rPr>
      </w:pPr>
      <w:r>
        <w:t>Materiał należy równomiernie rozłożyć na posadzce z barwionego kruszywa kwarcowego za pomocą pacy stalowej, gumowej rakli lub wałka. Posadzkę pozostawić do utwardzenia na ok. 24 godzin.</w:t>
      </w:r>
    </w:p>
    <w:p w14:paraId="7BCFDF10" w14:textId="77777777" w:rsidR="00D52013" w:rsidRDefault="00D52013" w:rsidP="00A10517">
      <w:pPr>
        <w:spacing w:after="0"/>
        <w:jc w:val="both"/>
        <w:rPr>
          <w:rFonts w:cs="Calibri"/>
          <w:bCs/>
        </w:rPr>
      </w:pPr>
    </w:p>
    <w:p w14:paraId="70AD6A23" w14:textId="77777777" w:rsidR="00753EE9" w:rsidRPr="00753EE9" w:rsidRDefault="00753EE9" w:rsidP="0097696B">
      <w:pPr>
        <w:pStyle w:val="Akapitzlist"/>
        <w:numPr>
          <w:ilvl w:val="0"/>
          <w:numId w:val="1"/>
        </w:numPr>
        <w:spacing w:after="0"/>
        <w:jc w:val="both"/>
        <w:rPr>
          <w:rFonts w:cs="Calibri"/>
          <w:b/>
          <w:bCs/>
        </w:rPr>
      </w:pPr>
      <w:r w:rsidRPr="00753EE9">
        <w:rPr>
          <w:rFonts w:cs="Calibri"/>
          <w:b/>
          <w:bCs/>
        </w:rPr>
        <w:lastRenderedPageBreak/>
        <w:t>KONTROLA JAKOŚCI ROBÓT</w:t>
      </w:r>
    </w:p>
    <w:p w14:paraId="47CDAE56" w14:textId="77777777" w:rsidR="00753EE9" w:rsidRPr="00753EE9" w:rsidRDefault="00753EE9" w:rsidP="0097696B">
      <w:pPr>
        <w:pStyle w:val="Akapitzlist"/>
        <w:numPr>
          <w:ilvl w:val="1"/>
          <w:numId w:val="1"/>
        </w:numPr>
        <w:spacing w:after="0"/>
        <w:jc w:val="both"/>
        <w:rPr>
          <w:rFonts w:cs="Calibri"/>
          <w:b/>
          <w:bCs/>
        </w:rPr>
      </w:pPr>
      <w:r w:rsidRPr="00753EE9">
        <w:rPr>
          <w:rFonts w:cs="Calibri"/>
          <w:b/>
          <w:bCs/>
        </w:rPr>
        <w:t>Ogólne wymagania dotyczące kontroli jakości robót</w:t>
      </w:r>
    </w:p>
    <w:p w14:paraId="38A5E931" w14:textId="77777777" w:rsidR="00753EE9" w:rsidRDefault="00753EE9" w:rsidP="00753EE9">
      <w:pPr>
        <w:spacing w:after="0"/>
        <w:jc w:val="both"/>
        <w:rPr>
          <w:rFonts w:cs="Calibri"/>
          <w:bCs/>
        </w:rPr>
      </w:pPr>
      <w:r w:rsidRPr="00753EE9">
        <w:rPr>
          <w:rFonts w:cs="Calibri"/>
          <w:bCs/>
        </w:rPr>
        <w:t xml:space="preserve">Dostarczone na plac budowy materialny należy kontrolować pod względem ich jakości. Zasady dokonywania takiej kontroli powinien ustalić kierownik budowy w porozumieniu z Inspektorem nadzoru. Kontrola jakości polega na sprawdzeniu, czy dostarczone materiały i wyroby mają zaświadczenia o jakości wystawione przez producenta oraz na sprawdzeniu właściwości technicznych dostarczonego wyrobu na podstawie tzw. badań doraźnych. </w:t>
      </w:r>
    </w:p>
    <w:p w14:paraId="4FEFCF5F" w14:textId="77777777" w:rsidR="00CA279B" w:rsidRPr="00753EE9" w:rsidRDefault="00CA279B" w:rsidP="00753EE9">
      <w:pPr>
        <w:spacing w:after="0"/>
        <w:jc w:val="both"/>
        <w:rPr>
          <w:rFonts w:cs="Calibri"/>
          <w:bCs/>
        </w:rPr>
      </w:pPr>
    </w:p>
    <w:p w14:paraId="3DF34FCC" w14:textId="77777777" w:rsidR="00753EE9" w:rsidRPr="00753EE9" w:rsidRDefault="00753EE9" w:rsidP="0097696B">
      <w:pPr>
        <w:pStyle w:val="Akapitzlist"/>
        <w:numPr>
          <w:ilvl w:val="1"/>
          <w:numId w:val="1"/>
        </w:numPr>
        <w:spacing w:after="0"/>
        <w:jc w:val="both"/>
        <w:rPr>
          <w:rFonts w:cs="Calibri"/>
          <w:b/>
          <w:bCs/>
        </w:rPr>
      </w:pPr>
      <w:r w:rsidRPr="00753EE9">
        <w:rPr>
          <w:rFonts w:cs="Calibri"/>
          <w:b/>
          <w:bCs/>
        </w:rPr>
        <w:t>Badania przed przystąpieniem do robót.</w:t>
      </w:r>
    </w:p>
    <w:p w14:paraId="3A49083F" w14:textId="77777777" w:rsidR="00753EE9" w:rsidRPr="00753EE9" w:rsidRDefault="00753EE9" w:rsidP="00753EE9">
      <w:pPr>
        <w:spacing w:after="0"/>
        <w:jc w:val="both"/>
        <w:rPr>
          <w:rFonts w:cs="Calibri"/>
          <w:bCs/>
        </w:rPr>
      </w:pPr>
      <w:r w:rsidRPr="00753EE9">
        <w:rPr>
          <w:rFonts w:cs="Calibri"/>
          <w:bCs/>
        </w:rPr>
        <w:t>Przed przystąpieniem do robót ocenić należy czy warunki w jakich prowadzone byłyby prace odpowiadają wymaganiom specyfikacji oraz czy prace, które miały być wykonane wcześniej zostały już zakończone.</w:t>
      </w:r>
    </w:p>
    <w:p w14:paraId="1ECE2923" w14:textId="77777777" w:rsidR="00753EE9" w:rsidRPr="00753EE9" w:rsidRDefault="00753EE9" w:rsidP="00753EE9">
      <w:pPr>
        <w:spacing w:after="0"/>
        <w:jc w:val="both"/>
        <w:rPr>
          <w:rFonts w:cs="Calibri"/>
          <w:bCs/>
        </w:rPr>
      </w:pPr>
      <w:r w:rsidRPr="00753EE9">
        <w:rPr>
          <w:rFonts w:cs="Calibri"/>
          <w:bCs/>
        </w:rPr>
        <w:t>W tej fazie zakres czynności kontrolnych powi</w:t>
      </w:r>
      <w:r w:rsidRPr="00753EE9">
        <w:rPr>
          <w:rFonts w:cs="Calibri"/>
          <w:bCs/>
        </w:rPr>
        <w:softHyphen/>
        <w:t xml:space="preserve">nien obejmować: </w:t>
      </w:r>
    </w:p>
    <w:p w14:paraId="660CEBCB" w14:textId="77777777" w:rsidR="00753EE9" w:rsidRPr="00753EE9" w:rsidRDefault="00753EE9" w:rsidP="0097696B">
      <w:pPr>
        <w:numPr>
          <w:ilvl w:val="0"/>
          <w:numId w:val="9"/>
        </w:numPr>
        <w:spacing w:after="0"/>
        <w:jc w:val="both"/>
        <w:rPr>
          <w:rFonts w:cs="Calibri"/>
          <w:bCs/>
        </w:rPr>
      </w:pPr>
      <w:r w:rsidRPr="00753EE9">
        <w:rPr>
          <w:rFonts w:cs="Calibri"/>
          <w:bCs/>
        </w:rPr>
        <w:t>sprawdzenie wizualne wyglądu powierzchni podkładu pod względem wymaganej równości, ewentualnych ubytków, porowatości, czystości,</w:t>
      </w:r>
    </w:p>
    <w:p w14:paraId="18BEC0E9" w14:textId="77777777" w:rsidR="00753EE9" w:rsidRPr="00753EE9" w:rsidRDefault="00753EE9" w:rsidP="0097696B">
      <w:pPr>
        <w:numPr>
          <w:ilvl w:val="0"/>
          <w:numId w:val="9"/>
        </w:numPr>
        <w:spacing w:after="0"/>
        <w:jc w:val="both"/>
        <w:rPr>
          <w:rFonts w:cs="Calibri"/>
          <w:bCs/>
        </w:rPr>
      </w:pPr>
      <w:r w:rsidRPr="00753EE9">
        <w:rPr>
          <w:rFonts w:cs="Calibri"/>
          <w:bCs/>
        </w:rPr>
        <w:t xml:space="preserve">sprawdzenie odchylenia powierzchni od płaszczyzny za pomocą łaty kontrolnej długości </w:t>
      </w:r>
      <w:smartTag w:uri="urn:schemas-microsoft-com:office:smarttags" w:element="metricconverter">
        <w:smartTagPr>
          <w:attr w:name="ProductID" w:val="2 m"/>
        </w:smartTagPr>
        <w:r w:rsidRPr="00753EE9">
          <w:rPr>
            <w:rFonts w:cs="Calibri"/>
            <w:bCs/>
          </w:rPr>
          <w:t>2 m</w:t>
        </w:r>
      </w:smartTag>
      <w:r w:rsidRPr="00753EE9">
        <w:rPr>
          <w:rFonts w:cs="Calibri"/>
          <w:bCs/>
        </w:rPr>
        <w:t xml:space="preserve"> przykładanej w różnych kierunkach i w wielu miejscach; prześwit pomiędzy łatą, a badaną powierzchnia należy mierzyć z dokładności do </w:t>
      </w:r>
      <w:smartTag w:uri="urn:schemas-microsoft-com:office:smarttags" w:element="metricconverter">
        <w:smartTagPr>
          <w:attr w:name="ProductID" w:val="1 mm"/>
        </w:smartTagPr>
        <w:r w:rsidRPr="00753EE9">
          <w:rPr>
            <w:rFonts w:cs="Calibri"/>
            <w:bCs/>
          </w:rPr>
          <w:t>1 mm</w:t>
        </w:r>
      </w:smartTag>
      <w:r w:rsidRPr="00753EE9">
        <w:rPr>
          <w:rFonts w:cs="Calibri"/>
          <w:bCs/>
        </w:rPr>
        <w:t xml:space="preserve">, </w:t>
      </w:r>
    </w:p>
    <w:p w14:paraId="68FB6F47" w14:textId="77777777" w:rsidR="00753EE9" w:rsidRPr="00753EE9" w:rsidRDefault="00753EE9" w:rsidP="0097696B">
      <w:pPr>
        <w:numPr>
          <w:ilvl w:val="0"/>
          <w:numId w:val="9"/>
        </w:numPr>
        <w:spacing w:after="0"/>
        <w:jc w:val="both"/>
        <w:rPr>
          <w:rFonts w:cs="Calibri"/>
          <w:bCs/>
        </w:rPr>
      </w:pPr>
      <w:r w:rsidRPr="00753EE9">
        <w:rPr>
          <w:rFonts w:cs="Calibri"/>
          <w:bCs/>
        </w:rPr>
        <w:t xml:space="preserve">sprawdzenie stanu zawilgocenia, </w:t>
      </w:r>
    </w:p>
    <w:p w14:paraId="10E8DF52" w14:textId="77777777" w:rsidR="00753EE9" w:rsidRPr="00753EE9" w:rsidRDefault="00753EE9" w:rsidP="0097696B">
      <w:pPr>
        <w:numPr>
          <w:ilvl w:val="0"/>
          <w:numId w:val="9"/>
        </w:numPr>
        <w:spacing w:after="0"/>
        <w:jc w:val="both"/>
        <w:rPr>
          <w:rFonts w:cs="Calibri"/>
          <w:bCs/>
        </w:rPr>
      </w:pPr>
      <w:r w:rsidRPr="00753EE9">
        <w:rPr>
          <w:rFonts w:cs="Calibri"/>
          <w:bCs/>
        </w:rPr>
        <w:t>sprawdzenie temperatury w pomieszczeniu,</w:t>
      </w:r>
    </w:p>
    <w:p w14:paraId="50CC0F2D" w14:textId="77777777" w:rsidR="00753EE9" w:rsidRPr="00753EE9" w:rsidRDefault="00753EE9" w:rsidP="0097696B">
      <w:pPr>
        <w:numPr>
          <w:ilvl w:val="0"/>
          <w:numId w:val="9"/>
        </w:numPr>
        <w:spacing w:after="0"/>
        <w:jc w:val="both"/>
        <w:rPr>
          <w:rFonts w:cs="Calibri"/>
          <w:bCs/>
        </w:rPr>
      </w:pPr>
      <w:r w:rsidRPr="00753EE9">
        <w:rPr>
          <w:rFonts w:cs="Calibri"/>
          <w:bCs/>
        </w:rPr>
        <w:t>sprawdzenie prawidłowości wykonania w podkładzie szczelin dylatacyjnych i przeciw</w:t>
      </w:r>
      <w:r w:rsidRPr="00753EE9">
        <w:rPr>
          <w:rFonts w:cs="Calibri"/>
          <w:bCs/>
        </w:rPr>
        <w:softHyphen/>
        <w:t xml:space="preserve">skurczowych dokonując pomiarów szerokości i prostoliniowości </w:t>
      </w:r>
    </w:p>
    <w:p w14:paraId="3F6F08A4" w14:textId="77777777" w:rsidR="00753EE9" w:rsidRPr="00753EE9" w:rsidRDefault="00753EE9" w:rsidP="0097696B">
      <w:pPr>
        <w:numPr>
          <w:ilvl w:val="0"/>
          <w:numId w:val="9"/>
        </w:numPr>
        <w:spacing w:after="0"/>
        <w:jc w:val="both"/>
        <w:rPr>
          <w:rFonts w:cs="Calibri"/>
          <w:bCs/>
        </w:rPr>
      </w:pPr>
      <w:r w:rsidRPr="00753EE9">
        <w:rPr>
          <w:rFonts w:cs="Calibri"/>
          <w:bCs/>
        </w:rPr>
        <w:t xml:space="preserve">sprawdzenie wytrzymałości podkładu metodami nieniszczącymi. </w:t>
      </w:r>
    </w:p>
    <w:p w14:paraId="21AB4682" w14:textId="77777777" w:rsidR="00753EE9" w:rsidRPr="00753EE9" w:rsidRDefault="00753EE9" w:rsidP="0097696B">
      <w:pPr>
        <w:pStyle w:val="Akapitzlist"/>
        <w:numPr>
          <w:ilvl w:val="1"/>
          <w:numId w:val="1"/>
        </w:numPr>
        <w:spacing w:after="0"/>
        <w:jc w:val="both"/>
        <w:rPr>
          <w:rFonts w:cs="Calibri"/>
          <w:b/>
          <w:bCs/>
        </w:rPr>
      </w:pPr>
      <w:r w:rsidRPr="00753EE9">
        <w:rPr>
          <w:rFonts w:cs="Calibri"/>
          <w:b/>
          <w:bCs/>
        </w:rPr>
        <w:t>Badania w czasie wykonywania robót.</w:t>
      </w:r>
    </w:p>
    <w:p w14:paraId="42BCB547" w14:textId="77777777" w:rsidR="00753EE9" w:rsidRPr="00753EE9" w:rsidRDefault="00753EE9" w:rsidP="00753EE9">
      <w:pPr>
        <w:spacing w:after="0"/>
        <w:jc w:val="both"/>
        <w:rPr>
          <w:rFonts w:cs="Calibri"/>
          <w:bCs/>
        </w:rPr>
      </w:pPr>
      <w:r w:rsidRPr="00753EE9">
        <w:rPr>
          <w:rFonts w:cs="Calibri"/>
          <w:bCs/>
        </w:rPr>
        <w:t>W czasie wykonywania robót należy prowadzić kontrole zgodności wykonywanych prac</w:t>
      </w:r>
      <w:r>
        <w:rPr>
          <w:rFonts w:cs="Calibri"/>
          <w:bCs/>
        </w:rPr>
        <w:t xml:space="preserve"> </w:t>
      </w:r>
      <w:r w:rsidRPr="00753EE9">
        <w:rPr>
          <w:rFonts w:cs="Calibri"/>
          <w:bCs/>
        </w:rPr>
        <w:t xml:space="preserve">z założeniami określonymi w dokumentacji projektowej i specyfikacji technicznej. </w:t>
      </w:r>
    </w:p>
    <w:p w14:paraId="5C834CA4" w14:textId="77777777" w:rsidR="00753EE9" w:rsidRPr="00753EE9" w:rsidRDefault="00753EE9" w:rsidP="00753EE9">
      <w:pPr>
        <w:spacing w:after="0"/>
        <w:jc w:val="both"/>
        <w:rPr>
          <w:rFonts w:cs="Calibri"/>
          <w:bCs/>
        </w:rPr>
      </w:pPr>
      <w:r w:rsidRPr="00753EE9">
        <w:rPr>
          <w:rFonts w:cs="Calibri"/>
          <w:bCs/>
        </w:rPr>
        <w:t>W szczególności kontrolować należy :</w:t>
      </w:r>
    </w:p>
    <w:p w14:paraId="34202657" w14:textId="77777777" w:rsidR="00753EE9" w:rsidRPr="00753EE9" w:rsidRDefault="00753EE9" w:rsidP="0097696B">
      <w:pPr>
        <w:numPr>
          <w:ilvl w:val="0"/>
          <w:numId w:val="11"/>
        </w:numPr>
        <w:spacing w:after="0"/>
        <w:jc w:val="both"/>
        <w:rPr>
          <w:rFonts w:cs="Calibri"/>
          <w:bCs/>
        </w:rPr>
      </w:pPr>
      <w:r w:rsidRPr="00753EE9">
        <w:rPr>
          <w:rFonts w:cs="Calibri"/>
          <w:bCs/>
        </w:rPr>
        <w:t>wykonanie wylewki samopoziomującej,</w:t>
      </w:r>
    </w:p>
    <w:p w14:paraId="506BAD9F" w14:textId="77777777" w:rsidR="00753EE9" w:rsidRPr="00753EE9" w:rsidRDefault="00753EE9" w:rsidP="0097696B">
      <w:pPr>
        <w:numPr>
          <w:ilvl w:val="0"/>
          <w:numId w:val="11"/>
        </w:numPr>
        <w:spacing w:after="0"/>
        <w:jc w:val="both"/>
        <w:rPr>
          <w:rFonts w:cs="Calibri"/>
          <w:bCs/>
        </w:rPr>
      </w:pPr>
      <w:r w:rsidRPr="00753EE9">
        <w:rPr>
          <w:rFonts w:cs="Calibri"/>
          <w:bCs/>
        </w:rPr>
        <w:t>prawidłowość ułożenia wzoru, bądź kierunek układania runa,</w:t>
      </w:r>
    </w:p>
    <w:p w14:paraId="4DF09AAE" w14:textId="77777777" w:rsidR="00753EE9" w:rsidRPr="00753EE9" w:rsidRDefault="00753EE9" w:rsidP="0097696B">
      <w:pPr>
        <w:numPr>
          <w:ilvl w:val="0"/>
          <w:numId w:val="11"/>
        </w:numPr>
        <w:spacing w:after="0"/>
        <w:jc w:val="both"/>
        <w:rPr>
          <w:rFonts w:cs="Calibri"/>
          <w:bCs/>
        </w:rPr>
      </w:pPr>
      <w:r w:rsidRPr="00753EE9">
        <w:rPr>
          <w:rFonts w:cs="Calibri"/>
          <w:bCs/>
        </w:rPr>
        <w:t>prawidłowość wykonania styków wykładzin,</w:t>
      </w:r>
    </w:p>
    <w:p w14:paraId="226AF0F6" w14:textId="77777777" w:rsidR="00753EE9" w:rsidRPr="00753EE9" w:rsidRDefault="00753EE9" w:rsidP="0097696B">
      <w:pPr>
        <w:pStyle w:val="Akapitzlist"/>
        <w:numPr>
          <w:ilvl w:val="1"/>
          <w:numId w:val="1"/>
        </w:numPr>
        <w:spacing w:after="0"/>
        <w:jc w:val="both"/>
        <w:rPr>
          <w:rFonts w:cs="Calibri"/>
          <w:b/>
          <w:bCs/>
        </w:rPr>
      </w:pPr>
      <w:r w:rsidRPr="00753EE9">
        <w:rPr>
          <w:rFonts w:cs="Calibri"/>
          <w:b/>
          <w:bCs/>
        </w:rPr>
        <w:t xml:space="preserve">Badania po wykonaniu robót.      </w:t>
      </w:r>
      <w:r w:rsidRPr="00753EE9">
        <w:rPr>
          <w:rFonts w:cs="Calibri"/>
          <w:b/>
          <w:bCs/>
        </w:rPr>
        <w:tab/>
      </w:r>
      <w:r w:rsidRPr="00753EE9">
        <w:rPr>
          <w:rFonts w:cs="Calibri"/>
          <w:b/>
          <w:bCs/>
        </w:rPr>
        <w:tab/>
      </w:r>
      <w:r w:rsidRPr="00753EE9">
        <w:rPr>
          <w:rFonts w:cs="Calibri"/>
          <w:b/>
          <w:bCs/>
        </w:rPr>
        <w:tab/>
      </w:r>
      <w:r w:rsidRPr="00753EE9">
        <w:rPr>
          <w:rFonts w:cs="Calibri"/>
          <w:b/>
          <w:bCs/>
        </w:rPr>
        <w:tab/>
      </w:r>
      <w:r w:rsidRPr="00753EE9">
        <w:rPr>
          <w:rFonts w:cs="Calibri"/>
          <w:b/>
          <w:bCs/>
        </w:rPr>
        <w:tab/>
      </w:r>
    </w:p>
    <w:p w14:paraId="7BAAC87B" w14:textId="77777777" w:rsidR="00753EE9" w:rsidRPr="00753EE9" w:rsidRDefault="00753EE9" w:rsidP="00753EE9">
      <w:pPr>
        <w:spacing w:after="0"/>
        <w:jc w:val="both"/>
        <w:rPr>
          <w:rFonts w:cs="Calibri"/>
          <w:bCs/>
        </w:rPr>
      </w:pPr>
      <w:r w:rsidRPr="00753EE9">
        <w:rPr>
          <w:rFonts w:cs="Calibri"/>
          <w:bCs/>
        </w:rPr>
        <w:t>Po wykonaniu robót i sprawdzeniu ich zgodności z dokumentacją projektową należy dokonać prób i pomiarów. Próby powinny potwierdzić poprawne działanie. Pomiary muszą potwierdzić osiągnięcie zakładanych rezultatów i zgodność z przepisami.</w:t>
      </w:r>
    </w:p>
    <w:p w14:paraId="61DA22F3" w14:textId="77777777" w:rsidR="00753EE9" w:rsidRPr="00753EE9" w:rsidRDefault="00753EE9" w:rsidP="00753EE9">
      <w:pPr>
        <w:spacing w:after="0"/>
        <w:jc w:val="both"/>
        <w:rPr>
          <w:rFonts w:cs="Calibri"/>
          <w:bCs/>
        </w:rPr>
      </w:pPr>
      <w:r w:rsidRPr="00753EE9">
        <w:rPr>
          <w:rFonts w:cs="Calibri"/>
          <w:bCs/>
        </w:rPr>
        <w:t>W szczególności sprawdzić należy:</w:t>
      </w:r>
    </w:p>
    <w:p w14:paraId="087B9F52" w14:textId="77777777" w:rsidR="00753EE9" w:rsidRPr="00753EE9" w:rsidRDefault="00753EE9" w:rsidP="0097696B">
      <w:pPr>
        <w:numPr>
          <w:ilvl w:val="0"/>
          <w:numId w:val="10"/>
        </w:numPr>
        <w:spacing w:after="0"/>
        <w:jc w:val="both"/>
        <w:rPr>
          <w:rFonts w:cs="Calibri"/>
          <w:bCs/>
        </w:rPr>
      </w:pPr>
      <w:r w:rsidRPr="00753EE9">
        <w:rPr>
          <w:rFonts w:cs="Calibri"/>
          <w:bCs/>
        </w:rPr>
        <w:t>jakości (wygląd) całych powierzchni wykładzin, prawidłowości wykonania krawędzi, naroży, styków z innymi materiałami i dylatacji,</w:t>
      </w:r>
    </w:p>
    <w:p w14:paraId="099BB481" w14:textId="77777777" w:rsidR="00753EE9" w:rsidRDefault="00753EE9" w:rsidP="0097696B">
      <w:pPr>
        <w:pStyle w:val="Akapitzlist"/>
        <w:numPr>
          <w:ilvl w:val="1"/>
          <w:numId w:val="1"/>
        </w:numPr>
        <w:spacing w:after="0"/>
        <w:jc w:val="both"/>
        <w:rPr>
          <w:rFonts w:cs="Calibri"/>
          <w:b/>
          <w:bCs/>
        </w:rPr>
      </w:pPr>
      <w:r w:rsidRPr="00753EE9">
        <w:rPr>
          <w:rFonts w:cs="Calibri"/>
          <w:b/>
          <w:bCs/>
        </w:rPr>
        <w:t>Jednostką obmiarową jest m2</w:t>
      </w:r>
    </w:p>
    <w:p w14:paraId="356876AE" w14:textId="77777777" w:rsidR="00753EE9" w:rsidRPr="00753EE9" w:rsidRDefault="00753EE9" w:rsidP="00753EE9">
      <w:pPr>
        <w:spacing w:after="0"/>
        <w:jc w:val="both"/>
        <w:rPr>
          <w:rFonts w:cs="Calibri"/>
          <w:b/>
          <w:bCs/>
        </w:rPr>
      </w:pPr>
    </w:p>
    <w:p w14:paraId="039DC56F" w14:textId="77777777" w:rsidR="00753EE9" w:rsidRPr="00753EE9" w:rsidRDefault="00753EE9" w:rsidP="0097696B">
      <w:pPr>
        <w:pStyle w:val="Akapitzlist"/>
        <w:numPr>
          <w:ilvl w:val="0"/>
          <w:numId w:val="1"/>
        </w:numPr>
        <w:spacing w:after="0"/>
        <w:jc w:val="both"/>
        <w:rPr>
          <w:rFonts w:cs="Calibri"/>
          <w:b/>
          <w:bCs/>
        </w:rPr>
      </w:pPr>
      <w:r w:rsidRPr="00753EE9">
        <w:rPr>
          <w:rFonts w:cs="Calibri"/>
          <w:b/>
          <w:bCs/>
        </w:rPr>
        <w:t xml:space="preserve"> OBMIAR ROBÓT</w:t>
      </w:r>
    </w:p>
    <w:p w14:paraId="56ABED18" w14:textId="77777777" w:rsidR="00753EE9" w:rsidRPr="00753EE9" w:rsidRDefault="00753EE9" w:rsidP="0097696B">
      <w:pPr>
        <w:pStyle w:val="Akapitzlist"/>
        <w:numPr>
          <w:ilvl w:val="1"/>
          <w:numId w:val="1"/>
        </w:numPr>
        <w:spacing w:after="0"/>
        <w:jc w:val="both"/>
        <w:rPr>
          <w:rFonts w:cs="Calibri"/>
          <w:b/>
          <w:bCs/>
        </w:rPr>
      </w:pPr>
      <w:r w:rsidRPr="00753EE9">
        <w:rPr>
          <w:rFonts w:cs="Calibri"/>
          <w:b/>
          <w:bCs/>
        </w:rPr>
        <w:t xml:space="preserve"> Ogólne zasady obmiaru robót</w:t>
      </w:r>
    </w:p>
    <w:p w14:paraId="1CB38D49" w14:textId="77777777" w:rsidR="00753EE9" w:rsidRPr="00753EE9" w:rsidRDefault="00753EE9" w:rsidP="00753EE9">
      <w:pPr>
        <w:spacing w:after="0"/>
        <w:jc w:val="both"/>
        <w:rPr>
          <w:rFonts w:cs="Calibri"/>
          <w:bCs/>
        </w:rPr>
      </w:pPr>
      <w:r w:rsidRPr="00753EE9">
        <w:rPr>
          <w:rFonts w:cs="Calibri"/>
          <w:bCs/>
        </w:rPr>
        <w:t>Ogólne zasady obmiaru robót podano w „Wymaganiach ogólnych”.</w:t>
      </w:r>
    </w:p>
    <w:p w14:paraId="2F3FDBA6" w14:textId="77777777" w:rsidR="00753EE9" w:rsidRPr="00753EE9" w:rsidRDefault="00753EE9" w:rsidP="00753EE9">
      <w:pPr>
        <w:spacing w:after="0"/>
        <w:jc w:val="both"/>
        <w:rPr>
          <w:rFonts w:cs="Calibri"/>
          <w:bCs/>
        </w:rPr>
      </w:pPr>
      <w:r w:rsidRPr="00753EE9">
        <w:rPr>
          <w:rFonts w:cs="Calibri"/>
          <w:bCs/>
        </w:rPr>
        <w:t>Jednostką obmiarową jest ;</w:t>
      </w:r>
    </w:p>
    <w:p w14:paraId="3FDA36A3" w14:textId="77777777" w:rsidR="00753EE9" w:rsidRPr="00753EE9" w:rsidRDefault="00753EE9" w:rsidP="00753EE9">
      <w:pPr>
        <w:spacing w:after="0"/>
        <w:jc w:val="both"/>
        <w:rPr>
          <w:rFonts w:cs="Calibri"/>
          <w:bCs/>
        </w:rPr>
      </w:pPr>
      <w:r w:rsidRPr="00753EE9">
        <w:rPr>
          <w:rFonts w:cs="Calibri"/>
          <w:bCs/>
        </w:rPr>
        <w:t>- jeden metr kwadratowy ułożonej wykładziny</w:t>
      </w:r>
    </w:p>
    <w:p w14:paraId="316EE20F" w14:textId="77777777" w:rsidR="00753EE9" w:rsidRDefault="00753EE9" w:rsidP="00753EE9">
      <w:pPr>
        <w:spacing w:after="0"/>
        <w:jc w:val="both"/>
        <w:rPr>
          <w:rFonts w:cs="Calibri"/>
          <w:bCs/>
        </w:rPr>
      </w:pPr>
      <w:r w:rsidRPr="00753EE9">
        <w:rPr>
          <w:rFonts w:cs="Calibri"/>
          <w:bCs/>
        </w:rPr>
        <w:t>- jeden metr bieżący zamontowanej listwy przyściennej</w:t>
      </w:r>
    </w:p>
    <w:p w14:paraId="05E320EF" w14:textId="77777777" w:rsidR="00C80B5D" w:rsidRPr="00753EE9" w:rsidRDefault="00C80B5D" w:rsidP="00753EE9">
      <w:pPr>
        <w:spacing w:after="0"/>
        <w:jc w:val="both"/>
        <w:rPr>
          <w:rFonts w:cs="Calibri"/>
          <w:bCs/>
        </w:rPr>
      </w:pPr>
    </w:p>
    <w:p w14:paraId="75732F3D" w14:textId="77777777" w:rsidR="00753EE9" w:rsidRPr="00753EE9" w:rsidRDefault="00753EE9" w:rsidP="0097696B">
      <w:pPr>
        <w:pStyle w:val="Akapitzlist"/>
        <w:numPr>
          <w:ilvl w:val="0"/>
          <w:numId w:val="1"/>
        </w:numPr>
        <w:spacing w:after="0"/>
        <w:jc w:val="both"/>
        <w:rPr>
          <w:rFonts w:cs="Calibri"/>
          <w:b/>
          <w:bCs/>
        </w:rPr>
      </w:pPr>
      <w:r w:rsidRPr="00753EE9">
        <w:rPr>
          <w:rFonts w:cs="Calibri"/>
          <w:b/>
          <w:bCs/>
        </w:rPr>
        <w:t xml:space="preserve">ODBIÓR ROBÓT </w:t>
      </w:r>
    </w:p>
    <w:p w14:paraId="5EE81CC3" w14:textId="77777777" w:rsidR="00753EE9" w:rsidRPr="00753EE9" w:rsidRDefault="00753EE9" w:rsidP="0097696B">
      <w:pPr>
        <w:pStyle w:val="Akapitzlist"/>
        <w:numPr>
          <w:ilvl w:val="1"/>
          <w:numId w:val="1"/>
        </w:numPr>
        <w:spacing w:after="0"/>
        <w:jc w:val="both"/>
        <w:rPr>
          <w:rFonts w:cs="Calibri"/>
          <w:b/>
          <w:bCs/>
        </w:rPr>
      </w:pPr>
      <w:r w:rsidRPr="00753EE9">
        <w:rPr>
          <w:rFonts w:cs="Calibri"/>
          <w:b/>
          <w:bCs/>
        </w:rPr>
        <w:t xml:space="preserve">Ogólne zasady odbioru robót </w:t>
      </w:r>
    </w:p>
    <w:p w14:paraId="09A44A5F" w14:textId="77777777" w:rsidR="00753EE9" w:rsidRPr="00753EE9" w:rsidRDefault="00753EE9" w:rsidP="00753EE9">
      <w:pPr>
        <w:spacing w:after="0"/>
        <w:jc w:val="both"/>
        <w:rPr>
          <w:rFonts w:cs="Calibri"/>
          <w:bCs/>
        </w:rPr>
      </w:pPr>
      <w:r w:rsidRPr="00753EE9">
        <w:rPr>
          <w:rFonts w:cs="Calibri"/>
          <w:bCs/>
        </w:rPr>
        <w:t>Ogólne zasady odbioru robót podano w „Wymaganiach ogólnych”.</w:t>
      </w:r>
    </w:p>
    <w:p w14:paraId="7EC5D6B4" w14:textId="77777777" w:rsidR="00753EE9" w:rsidRPr="00753EE9" w:rsidRDefault="00753EE9" w:rsidP="00753EE9">
      <w:pPr>
        <w:spacing w:after="0"/>
        <w:jc w:val="both"/>
        <w:rPr>
          <w:rFonts w:cs="Calibri"/>
          <w:bCs/>
        </w:rPr>
      </w:pPr>
      <w:r w:rsidRPr="00753EE9">
        <w:rPr>
          <w:rFonts w:cs="Calibri"/>
          <w:bCs/>
        </w:rPr>
        <w:t>Odbiór po spełnieniu warunków z punktu 6.</w:t>
      </w:r>
    </w:p>
    <w:p w14:paraId="06CAC070" w14:textId="77777777" w:rsidR="00753EE9" w:rsidRPr="00753EE9" w:rsidRDefault="00753EE9" w:rsidP="0097696B">
      <w:pPr>
        <w:pStyle w:val="Akapitzlist"/>
        <w:numPr>
          <w:ilvl w:val="1"/>
          <w:numId w:val="1"/>
        </w:numPr>
        <w:spacing w:after="0"/>
        <w:jc w:val="both"/>
        <w:rPr>
          <w:rFonts w:cs="Calibri"/>
          <w:b/>
          <w:bCs/>
        </w:rPr>
      </w:pPr>
      <w:r w:rsidRPr="00753EE9">
        <w:rPr>
          <w:rFonts w:cs="Calibri"/>
          <w:b/>
          <w:bCs/>
        </w:rPr>
        <w:t>Zgodność robót z dokumentacją projektową i specyfikacją techniczną</w:t>
      </w:r>
    </w:p>
    <w:p w14:paraId="2B4544B5" w14:textId="77777777" w:rsidR="00753EE9" w:rsidRPr="00753EE9" w:rsidRDefault="00753EE9" w:rsidP="00753EE9">
      <w:pPr>
        <w:spacing w:after="0"/>
        <w:jc w:val="both"/>
        <w:rPr>
          <w:rFonts w:cs="Calibri"/>
          <w:bCs/>
        </w:rPr>
      </w:pPr>
      <w:r w:rsidRPr="00753EE9">
        <w:rPr>
          <w:rFonts w:cs="Calibri"/>
          <w:bCs/>
        </w:rPr>
        <w:t>Roboty powinny być wykonane zgodnie z dokumentacją projektową i specyfikacją techniczną oraz pisemnymi  poleceniami inspektora nadzoru.</w:t>
      </w:r>
    </w:p>
    <w:p w14:paraId="1B699A30" w14:textId="77777777" w:rsidR="00753EE9" w:rsidRPr="00753EE9" w:rsidRDefault="00753EE9" w:rsidP="00753EE9">
      <w:pPr>
        <w:spacing w:after="0"/>
        <w:jc w:val="both"/>
        <w:rPr>
          <w:rFonts w:cs="Calibri"/>
          <w:bCs/>
        </w:rPr>
      </w:pPr>
      <w:r w:rsidRPr="00753EE9">
        <w:rPr>
          <w:rFonts w:cs="Calibri"/>
          <w:bCs/>
        </w:rPr>
        <w:t xml:space="preserve">Odbiory należy przeprowadzać dla każdej posadzki w poszczególnych pomieszczeniach osobno. W </w:t>
      </w:r>
      <w:proofErr w:type="spellStart"/>
      <w:r w:rsidRPr="00753EE9">
        <w:rPr>
          <w:rFonts w:cs="Calibri"/>
          <w:bCs/>
        </w:rPr>
        <w:t>protokóle</w:t>
      </w:r>
      <w:proofErr w:type="spellEnd"/>
      <w:r w:rsidRPr="00753EE9">
        <w:rPr>
          <w:rFonts w:cs="Calibri"/>
          <w:bCs/>
        </w:rPr>
        <w:t xml:space="preserve"> należy odnotować fakt wykonania poprawek, określając ich rodzaj i miejsce. Podstawą odbioru robót są badania obejmujące:</w:t>
      </w:r>
    </w:p>
    <w:p w14:paraId="3D4CF363" w14:textId="77777777" w:rsidR="00753EE9" w:rsidRPr="00753EE9" w:rsidRDefault="00753EE9" w:rsidP="0097696B">
      <w:pPr>
        <w:numPr>
          <w:ilvl w:val="0"/>
          <w:numId w:val="8"/>
        </w:numPr>
        <w:spacing w:after="0"/>
        <w:jc w:val="both"/>
        <w:rPr>
          <w:rFonts w:cs="Calibri"/>
          <w:bCs/>
        </w:rPr>
      </w:pPr>
      <w:r w:rsidRPr="00753EE9">
        <w:rPr>
          <w:rFonts w:cs="Calibri"/>
          <w:bCs/>
        </w:rPr>
        <w:t>sprawdzenie materiałów</w:t>
      </w:r>
    </w:p>
    <w:p w14:paraId="4C21EF89" w14:textId="77777777" w:rsidR="00753EE9" w:rsidRPr="00753EE9" w:rsidRDefault="00753EE9" w:rsidP="0097696B">
      <w:pPr>
        <w:numPr>
          <w:ilvl w:val="0"/>
          <w:numId w:val="8"/>
        </w:numPr>
        <w:spacing w:after="0"/>
        <w:jc w:val="both"/>
        <w:rPr>
          <w:rFonts w:cs="Calibri"/>
          <w:bCs/>
        </w:rPr>
      </w:pPr>
      <w:r w:rsidRPr="00753EE9">
        <w:rPr>
          <w:rFonts w:cs="Calibri"/>
          <w:bCs/>
        </w:rPr>
        <w:t>sprawdzenie warunków prowadzenia robót</w:t>
      </w:r>
    </w:p>
    <w:p w14:paraId="4CEF3B0D" w14:textId="77777777" w:rsidR="00753EE9" w:rsidRPr="00753EE9" w:rsidRDefault="00753EE9" w:rsidP="0097696B">
      <w:pPr>
        <w:numPr>
          <w:ilvl w:val="0"/>
          <w:numId w:val="8"/>
        </w:numPr>
        <w:spacing w:after="0"/>
        <w:jc w:val="both"/>
        <w:rPr>
          <w:rFonts w:cs="Calibri"/>
          <w:bCs/>
        </w:rPr>
      </w:pPr>
      <w:r w:rsidRPr="00753EE9">
        <w:rPr>
          <w:rFonts w:cs="Calibri"/>
          <w:bCs/>
        </w:rPr>
        <w:t xml:space="preserve">sprawdzenie prawidłowości wykonanych robót </w:t>
      </w:r>
    </w:p>
    <w:p w14:paraId="10B94B3A" w14:textId="339D84B3" w:rsidR="00753EE9" w:rsidRDefault="00753EE9" w:rsidP="00753EE9">
      <w:pPr>
        <w:spacing w:after="0"/>
        <w:jc w:val="both"/>
        <w:rPr>
          <w:rFonts w:cs="Calibri"/>
          <w:b/>
          <w:bCs/>
        </w:rPr>
      </w:pPr>
      <w:r w:rsidRPr="00753EE9">
        <w:rPr>
          <w:rFonts w:cs="Calibri"/>
          <w:b/>
          <w:bCs/>
        </w:rPr>
        <w:t xml:space="preserve">Po odbiorze sporządza się protokół powykonawczy,  który zawiera szczegółowy obmiar robót. W przypadku wystąpienia poprawek w </w:t>
      </w:r>
      <w:proofErr w:type="spellStart"/>
      <w:r w:rsidRPr="00753EE9">
        <w:rPr>
          <w:rFonts w:cs="Calibri"/>
          <w:b/>
          <w:bCs/>
        </w:rPr>
        <w:t>protokóle</w:t>
      </w:r>
      <w:proofErr w:type="spellEnd"/>
      <w:r w:rsidRPr="00753EE9">
        <w:rPr>
          <w:rFonts w:cs="Calibri"/>
          <w:b/>
          <w:bCs/>
        </w:rPr>
        <w:t xml:space="preserve"> należy odnotować ten fakt</w:t>
      </w:r>
      <w:r w:rsidR="000871D3">
        <w:rPr>
          <w:rFonts w:cs="Calibri"/>
          <w:b/>
          <w:bCs/>
        </w:rPr>
        <w:t xml:space="preserve"> </w:t>
      </w:r>
      <w:r w:rsidRPr="00753EE9">
        <w:rPr>
          <w:rFonts w:cs="Calibri"/>
          <w:b/>
          <w:bCs/>
        </w:rPr>
        <w:t>z określeniem terminu ich wykonania.</w:t>
      </w:r>
    </w:p>
    <w:p w14:paraId="2F8799F5" w14:textId="77777777" w:rsidR="00C80B5D" w:rsidRPr="00753EE9" w:rsidRDefault="00C80B5D" w:rsidP="00753EE9">
      <w:pPr>
        <w:spacing w:after="0"/>
        <w:jc w:val="both"/>
        <w:rPr>
          <w:rFonts w:cs="Calibri"/>
          <w:b/>
          <w:bCs/>
        </w:rPr>
      </w:pPr>
    </w:p>
    <w:p w14:paraId="002A1417" w14:textId="77777777" w:rsidR="00307154" w:rsidRPr="00C80B5D" w:rsidRDefault="00307154" w:rsidP="0097696B">
      <w:pPr>
        <w:pStyle w:val="Akapitzlist"/>
        <w:numPr>
          <w:ilvl w:val="0"/>
          <w:numId w:val="1"/>
        </w:numPr>
        <w:spacing w:after="0"/>
        <w:jc w:val="both"/>
        <w:rPr>
          <w:rFonts w:cs="Calibri"/>
          <w:b/>
          <w:bCs/>
        </w:rPr>
      </w:pPr>
      <w:r w:rsidRPr="00C80B5D">
        <w:rPr>
          <w:rFonts w:cs="Calibri"/>
          <w:b/>
          <w:bCs/>
        </w:rPr>
        <w:t>Dokumenty odniesienia</w:t>
      </w:r>
    </w:p>
    <w:p w14:paraId="69515FCA" w14:textId="77777777" w:rsidR="00307154" w:rsidRPr="005E7EE0" w:rsidRDefault="00307154" w:rsidP="00307154">
      <w:pPr>
        <w:spacing w:after="0"/>
        <w:jc w:val="both"/>
        <w:rPr>
          <w:rFonts w:cs="Calibri"/>
          <w:bCs/>
        </w:rPr>
      </w:pPr>
      <w:r w:rsidRPr="005E7EE0">
        <w:rPr>
          <w:rFonts w:cs="Calibri"/>
          <w:bCs/>
        </w:rPr>
        <w:t>Dokumentacją odniesienia jest:</w:t>
      </w:r>
    </w:p>
    <w:p w14:paraId="71D4B361" w14:textId="77777777" w:rsidR="00307154" w:rsidRPr="005E7EE0" w:rsidRDefault="00307154" w:rsidP="0097696B">
      <w:pPr>
        <w:numPr>
          <w:ilvl w:val="0"/>
          <w:numId w:val="2"/>
        </w:numPr>
        <w:spacing w:after="0"/>
        <w:jc w:val="both"/>
        <w:rPr>
          <w:rFonts w:cs="Calibri"/>
          <w:bCs/>
        </w:rPr>
      </w:pPr>
      <w:r w:rsidRPr="005E7EE0">
        <w:rPr>
          <w:rFonts w:cs="Calibri"/>
          <w:bCs/>
        </w:rPr>
        <w:t>Specyfikacja Istotnych Warunków Zamówienia dla przedmiotowego zadania,</w:t>
      </w:r>
    </w:p>
    <w:p w14:paraId="07F28727" w14:textId="77777777" w:rsidR="00307154" w:rsidRPr="005E7EE0" w:rsidRDefault="00307154" w:rsidP="0097696B">
      <w:pPr>
        <w:numPr>
          <w:ilvl w:val="0"/>
          <w:numId w:val="2"/>
        </w:numPr>
        <w:spacing w:after="0"/>
        <w:jc w:val="both"/>
        <w:rPr>
          <w:rFonts w:cs="Calibri"/>
          <w:bCs/>
        </w:rPr>
      </w:pPr>
      <w:r w:rsidRPr="005E7EE0">
        <w:rPr>
          <w:rFonts w:cs="Calibri"/>
          <w:bCs/>
        </w:rPr>
        <w:t>umowa zawarta pomiędzy Wykonawca a Zamawiającym wraz z harmonogramem robót</w:t>
      </w:r>
    </w:p>
    <w:p w14:paraId="7E37A0D5" w14:textId="77777777" w:rsidR="00307154" w:rsidRPr="005E7EE0" w:rsidRDefault="00307154" w:rsidP="0097696B">
      <w:pPr>
        <w:numPr>
          <w:ilvl w:val="0"/>
          <w:numId w:val="2"/>
        </w:numPr>
        <w:spacing w:after="0"/>
        <w:jc w:val="both"/>
        <w:rPr>
          <w:rFonts w:cs="Calibri"/>
          <w:bCs/>
        </w:rPr>
      </w:pPr>
      <w:r w:rsidRPr="005E7EE0">
        <w:rPr>
          <w:rFonts w:cs="Calibri"/>
          <w:bCs/>
        </w:rPr>
        <w:t>zatwierdzona przez Zamawiającego dokumentacja wykonawcza ww. zadania</w:t>
      </w:r>
    </w:p>
    <w:p w14:paraId="3721F807" w14:textId="77777777" w:rsidR="00307154" w:rsidRPr="005E7EE0" w:rsidRDefault="00307154" w:rsidP="0097696B">
      <w:pPr>
        <w:numPr>
          <w:ilvl w:val="0"/>
          <w:numId w:val="2"/>
        </w:numPr>
        <w:spacing w:after="0"/>
        <w:jc w:val="both"/>
        <w:rPr>
          <w:rFonts w:cs="Calibri"/>
          <w:bCs/>
        </w:rPr>
      </w:pPr>
      <w:r w:rsidRPr="005E7EE0">
        <w:rPr>
          <w:rFonts w:cs="Calibri"/>
          <w:bCs/>
        </w:rPr>
        <w:t>normy</w:t>
      </w:r>
    </w:p>
    <w:p w14:paraId="2D34E6B5" w14:textId="77777777" w:rsidR="00307154" w:rsidRPr="005E7EE0" w:rsidRDefault="00307154" w:rsidP="0097696B">
      <w:pPr>
        <w:numPr>
          <w:ilvl w:val="0"/>
          <w:numId w:val="2"/>
        </w:numPr>
        <w:spacing w:after="0"/>
        <w:jc w:val="both"/>
        <w:rPr>
          <w:rFonts w:cs="Calibri"/>
          <w:bCs/>
        </w:rPr>
      </w:pPr>
      <w:r w:rsidRPr="005E7EE0">
        <w:rPr>
          <w:rFonts w:cs="Calibri"/>
          <w:bCs/>
        </w:rPr>
        <w:t>aprobaty techniczne</w:t>
      </w:r>
    </w:p>
    <w:p w14:paraId="61837023" w14:textId="77777777" w:rsidR="00307154" w:rsidRPr="005E7EE0" w:rsidRDefault="00307154" w:rsidP="0097696B">
      <w:pPr>
        <w:numPr>
          <w:ilvl w:val="0"/>
          <w:numId w:val="2"/>
        </w:numPr>
        <w:spacing w:after="0"/>
        <w:jc w:val="both"/>
        <w:rPr>
          <w:rFonts w:cs="Calibri"/>
          <w:bCs/>
        </w:rPr>
      </w:pPr>
      <w:r w:rsidRPr="005E7EE0">
        <w:rPr>
          <w:rFonts w:cs="Calibri"/>
          <w:bCs/>
        </w:rPr>
        <w:t>inne dokumenty i ustalenia techniczne prowadzone w trakcie trwania inwestycji.</w:t>
      </w:r>
    </w:p>
    <w:p w14:paraId="0A71EC60" w14:textId="77777777" w:rsidR="00C13037" w:rsidRPr="005E7EE0" w:rsidRDefault="00C13037" w:rsidP="00C13037">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tbl>
      <w:tblPr>
        <w:tblW w:w="9072" w:type="dxa"/>
        <w:tblInd w:w="70" w:type="dxa"/>
        <w:tblCellMar>
          <w:left w:w="70" w:type="dxa"/>
          <w:right w:w="70" w:type="dxa"/>
        </w:tblCellMar>
        <w:tblLook w:val="04A0" w:firstRow="1" w:lastRow="0" w:firstColumn="1" w:lastColumn="0" w:noHBand="0" w:noVBand="1"/>
      </w:tblPr>
      <w:tblGrid>
        <w:gridCol w:w="3476"/>
        <w:gridCol w:w="5596"/>
      </w:tblGrid>
      <w:tr w:rsidR="000871D3" w:rsidRPr="000871D3" w14:paraId="2D6249CF" w14:textId="77777777" w:rsidTr="000871D3">
        <w:trPr>
          <w:trHeight w:val="300"/>
        </w:trPr>
        <w:tc>
          <w:tcPr>
            <w:tcW w:w="3476" w:type="dxa"/>
            <w:tcBorders>
              <w:top w:val="nil"/>
              <w:left w:val="nil"/>
              <w:bottom w:val="nil"/>
              <w:right w:val="nil"/>
            </w:tcBorders>
            <w:noWrap/>
            <w:vAlign w:val="center"/>
            <w:hideMark/>
          </w:tcPr>
          <w:p w14:paraId="1243325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PN-B-19707:2013-10</w:t>
            </w:r>
          </w:p>
        </w:tc>
        <w:tc>
          <w:tcPr>
            <w:tcW w:w="5596" w:type="dxa"/>
            <w:tcBorders>
              <w:top w:val="nil"/>
              <w:left w:val="nil"/>
              <w:bottom w:val="nil"/>
              <w:right w:val="nil"/>
            </w:tcBorders>
            <w:vAlign w:val="center"/>
            <w:hideMark/>
          </w:tcPr>
          <w:p w14:paraId="36EFECF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Cement - Cement specjalny - Skład, wymagania i kryteria zgodności</w:t>
            </w:r>
          </w:p>
        </w:tc>
      </w:tr>
      <w:tr w:rsidR="000871D3" w:rsidRPr="000871D3" w14:paraId="6CBA008D" w14:textId="77777777" w:rsidTr="000871D3">
        <w:trPr>
          <w:trHeight w:val="600"/>
        </w:trPr>
        <w:tc>
          <w:tcPr>
            <w:tcW w:w="3476" w:type="dxa"/>
            <w:tcBorders>
              <w:top w:val="nil"/>
              <w:left w:val="nil"/>
              <w:bottom w:val="nil"/>
              <w:right w:val="nil"/>
            </w:tcBorders>
            <w:noWrap/>
            <w:vAlign w:val="center"/>
            <w:hideMark/>
          </w:tcPr>
          <w:p w14:paraId="2EB6616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14216:2015-09</w:t>
            </w:r>
          </w:p>
        </w:tc>
        <w:tc>
          <w:tcPr>
            <w:tcW w:w="5596" w:type="dxa"/>
            <w:tcBorders>
              <w:top w:val="nil"/>
              <w:left w:val="nil"/>
              <w:bottom w:val="nil"/>
              <w:right w:val="nil"/>
            </w:tcBorders>
            <w:vAlign w:val="center"/>
            <w:hideMark/>
          </w:tcPr>
          <w:p w14:paraId="25C409D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Cement - Skład, wymagania i kryteria zgodności dotyczące cementów specjalnych o bardzo niskim cieple hydratacji</w:t>
            </w:r>
          </w:p>
        </w:tc>
      </w:tr>
      <w:tr w:rsidR="000871D3" w:rsidRPr="000871D3" w14:paraId="3081A469" w14:textId="77777777" w:rsidTr="000871D3">
        <w:trPr>
          <w:trHeight w:val="600"/>
        </w:trPr>
        <w:tc>
          <w:tcPr>
            <w:tcW w:w="3476" w:type="dxa"/>
            <w:tcBorders>
              <w:top w:val="nil"/>
              <w:left w:val="nil"/>
              <w:bottom w:val="nil"/>
              <w:right w:val="nil"/>
            </w:tcBorders>
            <w:noWrap/>
            <w:vAlign w:val="center"/>
            <w:hideMark/>
          </w:tcPr>
          <w:p w14:paraId="36B408B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14227-1:2013-10</w:t>
            </w:r>
          </w:p>
        </w:tc>
        <w:tc>
          <w:tcPr>
            <w:tcW w:w="5596" w:type="dxa"/>
            <w:tcBorders>
              <w:top w:val="nil"/>
              <w:left w:val="nil"/>
              <w:bottom w:val="nil"/>
              <w:right w:val="nil"/>
            </w:tcBorders>
            <w:vAlign w:val="center"/>
            <w:hideMark/>
          </w:tcPr>
          <w:p w14:paraId="33BE8F0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Mieszanki związane spoiwem hydraulicznym - Specyfikacje - Część 1: Mieszanki związane cementem</w:t>
            </w:r>
          </w:p>
        </w:tc>
      </w:tr>
      <w:tr w:rsidR="000871D3" w:rsidRPr="000871D3" w14:paraId="628F8B4E" w14:textId="77777777" w:rsidTr="000871D3">
        <w:trPr>
          <w:trHeight w:val="600"/>
        </w:trPr>
        <w:tc>
          <w:tcPr>
            <w:tcW w:w="3476" w:type="dxa"/>
            <w:tcBorders>
              <w:top w:val="nil"/>
              <w:left w:val="nil"/>
              <w:bottom w:val="nil"/>
              <w:right w:val="nil"/>
            </w:tcBorders>
            <w:noWrap/>
            <w:vAlign w:val="center"/>
            <w:hideMark/>
          </w:tcPr>
          <w:p w14:paraId="788D11B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16908:2017-02</w:t>
            </w:r>
          </w:p>
        </w:tc>
        <w:tc>
          <w:tcPr>
            <w:tcW w:w="5596" w:type="dxa"/>
            <w:tcBorders>
              <w:top w:val="nil"/>
              <w:left w:val="nil"/>
              <w:bottom w:val="nil"/>
              <w:right w:val="nil"/>
            </w:tcBorders>
            <w:vAlign w:val="center"/>
            <w:hideMark/>
          </w:tcPr>
          <w:p w14:paraId="56ED241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Cement i wapno budowlane - Deklaracje środowiskowe wyrobów - Zasady kategoryzacji wyrobów będące uzupełnieniem postanowień EN 15804</w:t>
            </w:r>
          </w:p>
        </w:tc>
      </w:tr>
      <w:tr w:rsidR="000871D3" w:rsidRPr="000871D3" w14:paraId="0D54D606" w14:textId="77777777" w:rsidTr="000871D3">
        <w:trPr>
          <w:trHeight w:val="600"/>
        </w:trPr>
        <w:tc>
          <w:tcPr>
            <w:tcW w:w="3476" w:type="dxa"/>
            <w:tcBorders>
              <w:top w:val="nil"/>
              <w:left w:val="nil"/>
              <w:bottom w:val="nil"/>
              <w:right w:val="nil"/>
            </w:tcBorders>
            <w:noWrap/>
            <w:vAlign w:val="center"/>
            <w:hideMark/>
          </w:tcPr>
          <w:p w14:paraId="37E02B9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197-1:2012</w:t>
            </w:r>
          </w:p>
        </w:tc>
        <w:tc>
          <w:tcPr>
            <w:tcW w:w="5596" w:type="dxa"/>
            <w:tcBorders>
              <w:top w:val="nil"/>
              <w:left w:val="nil"/>
              <w:bottom w:val="nil"/>
              <w:right w:val="nil"/>
            </w:tcBorders>
            <w:vAlign w:val="center"/>
            <w:hideMark/>
          </w:tcPr>
          <w:p w14:paraId="2DF439A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Cement - Część 1: Skład, wymagania i kryteria zgodności dotyczące cementów powszechnego użytku</w:t>
            </w:r>
          </w:p>
        </w:tc>
      </w:tr>
      <w:tr w:rsidR="000871D3" w:rsidRPr="000871D3" w14:paraId="177175B9" w14:textId="77777777" w:rsidTr="000871D3">
        <w:trPr>
          <w:trHeight w:val="300"/>
        </w:trPr>
        <w:tc>
          <w:tcPr>
            <w:tcW w:w="3476" w:type="dxa"/>
            <w:tcBorders>
              <w:top w:val="nil"/>
              <w:left w:val="nil"/>
              <w:bottom w:val="nil"/>
              <w:right w:val="nil"/>
            </w:tcBorders>
            <w:noWrap/>
            <w:vAlign w:val="center"/>
            <w:hideMark/>
          </w:tcPr>
          <w:p w14:paraId="0AA35E8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197-2:2020-09</w:t>
            </w:r>
          </w:p>
        </w:tc>
        <w:tc>
          <w:tcPr>
            <w:tcW w:w="5596" w:type="dxa"/>
            <w:tcBorders>
              <w:top w:val="nil"/>
              <w:left w:val="nil"/>
              <w:bottom w:val="nil"/>
              <w:right w:val="nil"/>
            </w:tcBorders>
            <w:vAlign w:val="center"/>
            <w:hideMark/>
          </w:tcPr>
          <w:p w14:paraId="386F0DC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Cement - Część 2: Ocena i weryfikacja stałości właściwości użytkowych</w:t>
            </w:r>
          </w:p>
        </w:tc>
      </w:tr>
      <w:tr w:rsidR="000871D3" w:rsidRPr="000871D3" w14:paraId="6BE38700" w14:textId="77777777" w:rsidTr="000871D3">
        <w:trPr>
          <w:trHeight w:val="600"/>
        </w:trPr>
        <w:tc>
          <w:tcPr>
            <w:tcW w:w="3476" w:type="dxa"/>
            <w:tcBorders>
              <w:top w:val="nil"/>
              <w:left w:val="nil"/>
              <w:bottom w:val="nil"/>
              <w:right w:val="nil"/>
            </w:tcBorders>
            <w:noWrap/>
            <w:vAlign w:val="center"/>
            <w:hideMark/>
          </w:tcPr>
          <w:p w14:paraId="76BE048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197-5:2021-07</w:t>
            </w:r>
          </w:p>
        </w:tc>
        <w:tc>
          <w:tcPr>
            <w:tcW w:w="5596" w:type="dxa"/>
            <w:tcBorders>
              <w:top w:val="nil"/>
              <w:left w:val="nil"/>
              <w:bottom w:val="nil"/>
              <w:right w:val="nil"/>
            </w:tcBorders>
            <w:vAlign w:val="center"/>
            <w:hideMark/>
          </w:tcPr>
          <w:p w14:paraId="72C0DCC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Cement - Część 5: Cement portlandzki wieloskładnikowy CEM II/C-M i cement wieloskładnikowy CEM VI</w:t>
            </w:r>
          </w:p>
        </w:tc>
      </w:tr>
      <w:tr w:rsidR="000871D3" w:rsidRPr="000871D3" w14:paraId="751AD471" w14:textId="77777777" w:rsidTr="000871D3">
        <w:trPr>
          <w:trHeight w:val="600"/>
        </w:trPr>
        <w:tc>
          <w:tcPr>
            <w:tcW w:w="3476" w:type="dxa"/>
            <w:tcBorders>
              <w:top w:val="nil"/>
              <w:left w:val="nil"/>
              <w:bottom w:val="nil"/>
              <w:right w:val="nil"/>
            </w:tcBorders>
            <w:noWrap/>
            <w:vAlign w:val="center"/>
            <w:hideMark/>
          </w:tcPr>
          <w:p w14:paraId="12BF05D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PKN-CEN/TS 12390-9:2017-07</w:t>
            </w:r>
          </w:p>
        </w:tc>
        <w:tc>
          <w:tcPr>
            <w:tcW w:w="5596" w:type="dxa"/>
            <w:tcBorders>
              <w:top w:val="nil"/>
              <w:left w:val="nil"/>
              <w:bottom w:val="nil"/>
              <w:right w:val="nil"/>
            </w:tcBorders>
            <w:vAlign w:val="center"/>
            <w:hideMark/>
          </w:tcPr>
          <w:p w14:paraId="454EA4F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9: Oznaczanie odporności na zamrażanie i rozmrażanie w obecności soli odladzających - Złuszczanie</w:t>
            </w:r>
          </w:p>
        </w:tc>
      </w:tr>
      <w:tr w:rsidR="000871D3" w:rsidRPr="000871D3" w14:paraId="7FAC6A1E" w14:textId="77777777" w:rsidTr="000871D3">
        <w:trPr>
          <w:trHeight w:val="300"/>
        </w:trPr>
        <w:tc>
          <w:tcPr>
            <w:tcW w:w="3476" w:type="dxa"/>
            <w:tcBorders>
              <w:top w:val="nil"/>
              <w:left w:val="nil"/>
              <w:bottom w:val="nil"/>
              <w:right w:val="nil"/>
            </w:tcBorders>
            <w:noWrap/>
            <w:vAlign w:val="center"/>
            <w:hideMark/>
          </w:tcPr>
          <w:p w14:paraId="2154EEE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PN-B-06264:2019-10</w:t>
            </w:r>
          </w:p>
        </w:tc>
        <w:tc>
          <w:tcPr>
            <w:tcW w:w="5596" w:type="dxa"/>
            <w:tcBorders>
              <w:top w:val="nil"/>
              <w:left w:val="nil"/>
              <w:bottom w:val="nil"/>
              <w:right w:val="nil"/>
            </w:tcBorders>
            <w:vAlign w:val="center"/>
            <w:hideMark/>
          </w:tcPr>
          <w:p w14:paraId="525E1DDC" w14:textId="77777777" w:rsidR="000871D3" w:rsidRPr="000871D3" w:rsidRDefault="000871D3" w:rsidP="000871D3">
            <w:pPr>
              <w:spacing w:after="0" w:line="240" w:lineRule="auto"/>
              <w:rPr>
                <w:rFonts w:eastAsia="Times New Roman" w:cs="Calibri"/>
                <w:color w:val="2F2F2F"/>
                <w:lang w:eastAsia="pl-PL"/>
              </w:rPr>
            </w:pPr>
            <w:r w:rsidRPr="000871D3">
              <w:rPr>
                <w:rFonts w:eastAsia="Times New Roman" w:cs="Calibri"/>
                <w:color w:val="2F2F2F"/>
                <w:lang w:eastAsia="pl-PL"/>
              </w:rPr>
              <w:t>Nieniszczące badania konstrukcji z betonu - Badanie radiograficzne</w:t>
            </w:r>
          </w:p>
        </w:tc>
      </w:tr>
      <w:tr w:rsidR="000871D3" w:rsidRPr="000871D3" w14:paraId="124B72DA" w14:textId="77777777" w:rsidTr="000871D3">
        <w:trPr>
          <w:trHeight w:val="600"/>
        </w:trPr>
        <w:tc>
          <w:tcPr>
            <w:tcW w:w="3476" w:type="dxa"/>
            <w:tcBorders>
              <w:top w:val="nil"/>
              <w:left w:val="nil"/>
              <w:bottom w:val="nil"/>
              <w:right w:val="nil"/>
            </w:tcBorders>
            <w:noWrap/>
            <w:vAlign w:val="center"/>
            <w:hideMark/>
          </w:tcPr>
          <w:p w14:paraId="1470020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lastRenderedPageBreak/>
              <w:t>PN-B-06265:2018-10</w:t>
            </w:r>
          </w:p>
        </w:tc>
        <w:tc>
          <w:tcPr>
            <w:tcW w:w="5596" w:type="dxa"/>
            <w:tcBorders>
              <w:top w:val="nil"/>
              <w:left w:val="nil"/>
              <w:bottom w:val="nil"/>
              <w:right w:val="nil"/>
            </w:tcBorders>
            <w:vAlign w:val="center"/>
            <w:hideMark/>
          </w:tcPr>
          <w:p w14:paraId="280992A4" w14:textId="77777777" w:rsidR="000871D3" w:rsidRPr="000871D3" w:rsidRDefault="000871D3" w:rsidP="000871D3">
            <w:pPr>
              <w:spacing w:after="0" w:line="240" w:lineRule="auto"/>
              <w:rPr>
                <w:rFonts w:eastAsia="Times New Roman" w:cs="Calibri"/>
                <w:color w:val="2F2F2F"/>
                <w:lang w:eastAsia="pl-PL"/>
              </w:rPr>
            </w:pPr>
            <w:r w:rsidRPr="000871D3">
              <w:rPr>
                <w:rFonts w:eastAsia="Times New Roman" w:cs="Calibri"/>
                <w:color w:val="2F2F2F"/>
                <w:lang w:eastAsia="pl-PL"/>
              </w:rPr>
              <w:t>Beton - Wymagania, właściwości, produkcja i zgodność - Krajowe uzupełnienie PN-EN 206+A1:2016-12</w:t>
            </w:r>
          </w:p>
        </w:tc>
      </w:tr>
      <w:tr w:rsidR="000871D3" w:rsidRPr="000871D3" w14:paraId="4EF40C52" w14:textId="77777777" w:rsidTr="000871D3">
        <w:trPr>
          <w:trHeight w:val="900"/>
        </w:trPr>
        <w:tc>
          <w:tcPr>
            <w:tcW w:w="3476" w:type="dxa"/>
            <w:tcBorders>
              <w:top w:val="nil"/>
              <w:left w:val="nil"/>
              <w:bottom w:val="nil"/>
              <w:right w:val="nil"/>
            </w:tcBorders>
            <w:noWrap/>
            <w:vAlign w:val="center"/>
            <w:hideMark/>
          </w:tcPr>
          <w:p w14:paraId="7381BD6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1008:2004</w:t>
            </w:r>
          </w:p>
        </w:tc>
        <w:tc>
          <w:tcPr>
            <w:tcW w:w="5596" w:type="dxa"/>
            <w:tcBorders>
              <w:top w:val="nil"/>
              <w:left w:val="nil"/>
              <w:bottom w:val="nil"/>
              <w:right w:val="nil"/>
            </w:tcBorders>
            <w:vAlign w:val="center"/>
            <w:hideMark/>
          </w:tcPr>
          <w:p w14:paraId="534D138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Woda zarobowa do betonu - Specyfikacja pobierania próbek, badanie i ocena przydatności wody zarobowej do betonu, w tym wody odzyskanej z procesów produkcji betonu</w:t>
            </w:r>
          </w:p>
        </w:tc>
      </w:tr>
      <w:tr w:rsidR="000871D3" w:rsidRPr="000871D3" w14:paraId="40DDD846" w14:textId="77777777" w:rsidTr="000871D3">
        <w:trPr>
          <w:trHeight w:val="600"/>
        </w:trPr>
        <w:tc>
          <w:tcPr>
            <w:tcW w:w="3476" w:type="dxa"/>
            <w:tcBorders>
              <w:top w:val="nil"/>
              <w:left w:val="nil"/>
              <w:bottom w:val="nil"/>
              <w:right w:val="nil"/>
            </w:tcBorders>
            <w:noWrap/>
            <w:vAlign w:val="center"/>
            <w:hideMark/>
          </w:tcPr>
          <w:p w14:paraId="0389888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12350-10:2012</w:t>
            </w:r>
          </w:p>
        </w:tc>
        <w:tc>
          <w:tcPr>
            <w:tcW w:w="5596" w:type="dxa"/>
            <w:tcBorders>
              <w:top w:val="nil"/>
              <w:left w:val="nil"/>
              <w:bottom w:val="nil"/>
              <w:right w:val="nil"/>
            </w:tcBorders>
            <w:vAlign w:val="center"/>
            <w:hideMark/>
          </w:tcPr>
          <w:p w14:paraId="4E4825C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Badania mieszanki betonowej - Część 10: Beton </w:t>
            </w:r>
            <w:proofErr w:type="spellStart"/>
            <w:r w:rsidRPr="000871D3">
              <w:rPr>
                <w:rFonts w:eastAsia="Times New Roman" w:cs="Calibri"/>
                <w:color w:val="000000"/>
                <w:lang w:eastAsia="pl-PL"/>
              </w:rPr>
              <w:t>samozagęszczalny</w:t>
            </w:r>
            <w:proofErr w:type="spellEnd"/>
            <w:r w:rsidRPr="000871D3">
              <w:rPr>
                <w:rFonts w:eastAsia="Times New Roman" w:cs="Calibri"/>
                <w:color w:val="000000"/>
                <w:lang w:eastAsia="pl-PL"/>
              </w:rPr>
              <w:t xml:space="preserve"> - Badanie metodą L-pojemnika</w:t>
            </w:r>
          </w:p>
        </w:tc>
      </w:tr>
      <w:tr w:rsidR="000871D3" w:rsidRPr="000871D3" w14:paraId="655872EB" w14:textId="77777777" w:rsidTr="000871D3">
        <w:trPr>
          <w:trHeight w:val="600"/>
        </w:trPr>
        <w:tc>
          <w:tcPr>
            <w:tcW w:w="3476" w:type="dxa"/>
            <w:tcBorders>
              <w:top w:val="nil"/>
              <w:left w:val="nil"/>
              <w:bottom w:val="nil"/>
              <w:right w:val="nil"/>
            </w:tcBorders>
            <w:noWrap/>
            <w:vAlign w:val="center"/>
            <w:hideMark/>
          </w:tcPr>
          <w:p w14:paraId="19BEC9E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12350-11:2012</w:t>
            </w:r>
          </w:p>
        </w:tc>
        <w:tc>
          <w:tcPr>
            <w:tcW w:w="5596" w:type="dxa"/>
            <w:tcBorders>
              <w:top w:val="nil"/>
              <w:left w:val="nil"/>
              <w:bottom w:val="nil"/>
              <w:right w:val="nil"/>
            </w:tcBorders>
            <w:vAlign w:val="center"/>
            <w:hideMark/>
          </w:tcPr>
          <w:p w14:paraId="4753650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Badania mieszanki betonowej - Część 11: Beton </w:t>
            </w:r>
            <w:proofErr w:type="spellStart"/>
            <w:r w:rsidRPr="000871D3">
              <w:rPr>
                <w:rFonts w:eastAsia="Times New Roman" w:cs="Calibri"/>
                <w:color w:val="000000"/>
                <w:lang w:eastAsia="pl-PL"/>
              </w:rPr>
              <w:t>samozagęszczalny</w:t>
            </w:r>
            <w:proofErr w:type="spellEnd"/>
            <w:r w:rsidRPr="000871D3">
              <w:rPr>
                <w:rFonts w:eastAsia="Times New Roman" w:cs="Calibri"/>
                <w:color w:val="000000"/>
                <w:lang w:eastAsia="pl-PL"/>
              </w:rPr>
              <w:t xml:space="preserve"> - Badanie segregacji sitowej</w:t>
            </w:r>
          </w:p>
        </w:tc>
      </w:tr>
      <w:tr w:rsidR="000871D3" w:rsidRPr="000871D3" w14:paraId="5C5BB29E" w14:textId="77777777" w:rsidTr="000871D3">
        <w:trPr>
          <w:trHeight w:val="600"/>
        </w:trPr>
        <w:tc>
          <w:tcPr>
            <w:tcW w:w="3476" w:type="dxa"/>
            <w:tcBorders>
              <w:top w:val="nil"/>
              <w:left w:val="nil"/>
              <w:bottom w:val="nil"/>
              <w:right w:val="nil"/>
            </w:tcBorders>
            <w:noWrap/>
            <w:vAlign w:val="center"/>
            <w:hideMark/>
          </w:tcPr>
          <w:p w14:paraId="0D3DA15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12350-12:2012</w:t>
            </w:r>
          </w:p>
        </w:tc>
        <w:tc>
          <w:tcPr>
            <w:tcW w:w="5596" w:type="dxa"/>
            <w:tcBorders>
              <w:top w:val="nil"/>
              <w:left w:val="nil"/>
              <w:bottom w:val="nil"/>
              <w:right w:val="nil"/>
            </w:tcBorders>
            <w:vAlign w:val="center"/>
            <w:hideMark/>
          </w:tcPr>
          <w:p w14:paraId="1063B67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Badania mieszanki betonowej - Część 12: Beton </w:t>
            </w:r>
            <w:proofErr w:type="spellStart"/>
            <w:r w:rsidRPr="000871D3">
              <w:rPr>
                <w:rFonts w:eastAsia="Times New Roman" w:cs="Calibri"/>
                <w:color w:val="000000"/>
                <w:lang w:eastAsia="pl-PL"/>
              </w:rPr>
              <w:t>samozagęszczalny</w:t>
            </w:r>
            <w:proofErr w:type="spellEnd"/>
            <w:r w:rsidRPr="000871D3">
              <w:rPr>
                <w:rFonts w:eastAsia="Times New Roman" w:cs="Calibri"/>
                <w:color w:val="000000"/>
                <w:lang w:eastAsia="pl-PL"/>
              </w:rPr>
              <w:t xml:space="preserve"> - Badanie metodą J-pierścienia</w:t>
            </w:r>
          </w:p>
        </w:tc>
      </w:tr>
      <w:tr w:rsidR="000871D3" w:rsidRPr="000871D3" w14:paraId="2DC9B560" w14:textId="77777777" w:rsidTr="000871D3">
        <w:trPr>
          <w:trHeight w:val="300"/>
        </w:trPr>
        <w:tc>
          <w:tcPr>
            <w:tcW w:w="3476" w:type="dxa"/>
            <w:tcBorders>
              <w:top w:val="nil"/>
              <w:left w:val="nil"/>
              <w:bottom w:val="nil"/>
              <w:right w:val="nil"/>
            </w:tcBorders>
            <w:noWrap/>
            <w:vAlign w:val="center"/>
            <w:hideMark/>
          </w:tcPr>
          <w:p w14:paraId="44E04AD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12350-1:2019-07</w:t>
            </w:r>
          </w:p>
        </w:tc>
        <w:tc>
          <w:tcPr>
            <w:tcW w:w="5596" w:type="dxa"/>
            <w:tcBorders>
              <w:top w:val="nil"/>
              <w:left w:val="nil"/>
              <w:bottom w:val="nil"/>
              <w:right w:val="nil"/>
            </w:tcBorders>
            <w:vAlign w:val="center"/>
            <w:hideMark/>
          </w:tcPr>
          <w:p w14:paraId="6BA4D69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mieszanki betonowej - Część 1: Pobieranie próbek i uniwersalna aparatura</w:t>
            </w:r>
          </w:p>
        </w:tc>
      </w:tr>
      <w:tr w:rsidR="000871D3" w:rsidRPr="000871D3" w14:paraId="606C225E" w14:textId="77777777" w:rsidTr="000871D3">
        <w:trPr>
          <w:trHeight w:val="300"/>
        </w:trPr>
        <w:tc>
          <w:tcPr>
            <w:tcW w:w="3476" w:type="dxa"/>
            <w:tcBorders>
              <w:top w:val="nil"/>
              <w:left w:val="nil"/>
              <w:bottom w:val="nil"/>
              <w:right w:val="nil"/>
            </w:tcBorders>
            <w:noWrap/>
            <w:vAlign w:val="center"/>
            <w:hideMark/>
          </w:tcPr>
          <w:p w14:paraId="2E3FFF3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12350-2:2019-07</w:t>
            </w:r>
          </w:p>
        </w:tc>
        <w:tc>
          <w:tcPr>
            <w:tcW w:w="5596" w:type="dxa"/>
            <w:tcBorders>
              <w:top w:val="nil"/>
              <w:left w:val="nil"/>
              <w:bottom w:val="nil"/>
              <w:right w:val="nil"/>
            </w:tcBorders>
            <w:vAlign w:val="center"/>
            <w:hideMark/>
          </w:tcPr>
          <w:p w14:paraId="682EA49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mieszanki betonowej - Część 2: Badanie konsystencji metodą opadu stożka</w:t>
            </w:r>
          </w:p>
        </w:tc>
      </w:tr>
      <w:tr w:rsidR="000871D3" w:rsidRPr="000871D3" w14:paraId="3E4B758D" w14:textId="77777777" w:rsidTr="000871D3">
        <w:trPr>
          <w:trHeight w:val="300"/>
        </w:trPr>
        <w:tc>
          <w:tcPr>
            <w:tcW w:w="3476" w:type="dxa"/>
            <w:tcBorders>
              <w:top w:val="nil"/>
              <w:left w:val="nil"/>
              <w:bottom w:val="nil"/>
              <w:right w:val="nil"/>
            </w:tcBorders>
            <w:noWrap/>
            <w:vAlign w:val="center"/>
            <w:hideMark/>
          </w:tcPr>
          <w:p w14:paraId="2F6F6C3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12350-3:2019-07</w:t>
            </w:r>
          </w:p>
        </w:tc>
        <w:tc>
          <w:tcPr>
            <w:tcW w:w="5596" w:type="dxa"/>
            <w:tcBorders>
              <w:top w:val="nil"/>
              <w:left w:val="nil"/>
              <w:bottom w:val="nil"/>
              <w:right w:val="nil"/>
            </w:tcBorders>
            <w:vAlign w:val="center"/>
            <w:hideMark/>
          </w:tcPr>
          <w:p w14:paraId="6097E57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Badania mieszanki betonowej - Część 3: Badania konsystencji metodą </w:t>
            </w:r>
            <w:proofErr w:type="spellStart"/>
            <w:r w:rsidRPr="000871D3">
              <w:rPr>
                <w:rFonts w:eastAsia="Times New Roman" w:cs="Calibri"/>
                <w:color w:val="000000"/>
                <w:lang w:eastAsia="pl-PL"/>
              </w:rPr>
              <w:t>Vebe</w:t>
            </w:r>
            <w:proofErr w:type="spellEnd"/>
          </w:p>
        </w:tc>
      </w:tr>
      <w:tr w:rsidR="000871D3" w:rsidRPr="000871D3" w14:paraId="473CB078" w14:textId="77777777" w:rsidTr="000871D3">
        <w:trPr>
          <w:trHeight w:val="600"/>
        </w:trPr>
        <w:tc>
          <w:tcPr>
            <w:tcW w:w="3476" w:type="dxa"/>
            <w:tcBorders>
              <w:top w:val="nil"/>
              <w:left w:val="nil"/>
              <w:bottom w:val="nil"/>
              <w:right w:val="nil"/>
            </w:tcBorders>
            <w:noWrap/>
            <w:vAlign w:val="center"/>
            <w:hideMark/>
          </w:tcPr>
          <w:p w14:paraId="6FE9823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12350-4:2019-08</w:t>
            </w:r>
          </w:p>
        </w:tc>
        <w:tc>
          <w:tcPr>
            <w:tcW w:w="5596" w:type="dxa"/>
            <w:tcBorders>
              <w:top w:val="nil"/>
              <w:left w:val="nil"/>
              <w:bottom w:val="nil"/>
              <w:right w:val="nil"/>
            </w:tcBorders>
            <w:vAlign w:val="center"/>
            <w:hideMark/>
          </w:tcPr>
          <w:p w14:paraId="6C34F8E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Badania mieszanki betonowej - Część 4: Badanie konsystencji metodą oznaczania stopnia </w:t>
            </w:r>
            <w:proofErr w:type="spellStart"/>
            <w:r w:rsidRPr="000871D3">
              <w:rPr>
                <w:rFonts w:eastAsia="Times New Roman" w:cs="Calibri"/>
                <w:color w:val="000000"/>
                <w:lang w:eastAsia="pl-PL"/>
              </w:rPr>
              <w:t>zagęszczalności</w:t>
            </w:r>
            <w:proofErr w:type="spellEnd"/>
          </w:p>
        </w:tc>
      </w:tr>
      <w:tr w:rsidR="000871D3" w:rsidRPr="000871D3" w14:paraId="7187682F" w14:textId="77777777" w:rsidTr="000871D3">
        <w:trPr>
          <w:trHeight w:val="600"/>
        </w:trPr>
        <w:tc>
          <w:tcPr>
            <w:tcW w:w="3476" w:type="dxa"/>
            <w:tcBorders>
              <w:top w:val="nil"/>
              <w:left w:val="nil"/>
              <w:bottom w:val="nil"/>
              <w:right w:val="nil"/>
            </w:tcBorders>
            <w:noWrap/>
            <w:vAlign w:val="center"/>
            <w:hideMark/>
          </w:tcPr>
          <w:p w14:paraId="7E4AD89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12350-5:2019-08</w:t>
            </w:r>
          </w:p>
        </w:tc>
        <w:tc>
          <w:tcPr>
            <w:tcW w:w="5596" w:type="dxa"/>
            <w:tcBorders>
              <w:top w:val="nil"/>
              <w:left w:val="nil"/>
              <w:bottom w:val="nil"/>
              <w:right w:val="nil"/>
            </w:tcBorders>
            <w:vAlign w:val="center"/>
            <w:hideMark/>
          </w:tcPr>
          <w:p w14:paraId="1864E3E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mieszanki betonowej - Część 5: Badanie konsystencji metodą stolika rozpływowego</w:t>
            </w:r>
          </w:p>
        </w:tc>
      </w:tr>
      <w:tr w:rsidR="000871D3" w:rsidRPr="000871D3" w14:paraId="7EE58909" w14:textId="77777777" w:rsidTr="000871D3">
        <w:trPr>
          <w:trHeight w:val="300"/>
        </w:trPr>
        <w:tc>
          <w:tcPr>
            <w:tcW w:w="3476" w:type="dxa"/>
            <w:tcBorders>
              <w:top w:val="nil"/>
              <w:left w:val="nil"/>
              <w:bottom w:val="nil"/>
              <w:right w:val="nil"/>
            </w:tcBorders>
            <w:noWrap/>
            <w:vAlign w:val="center"/>
            <w:hideMark/>
          </w:tcPr>
          <w:p w14:paraId="72B4C26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12350-6:2019-08</w:t>
            </w:r>
          </w:p>
        </w:tc>
        <w:tc>
          <w:tcPr>
            <w:tcW w:w="5596" w:type="dxa"/>
            <w:tcBorders>
              <w:top w:val="nil"/>
              <w:left w:val="nil"/>
              <w:bottom w:val="nil"/>
              <w:right w:val="nil"/>
            </w:tcBorders>
            <w:vAlign w:val="center"/>
            <w:hideMark/>
          </w:tcPr>
          <w:p w14:paraId="1B9359B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mieszanki betonowej - Część 6: Gęstość</w:t>
            </w:r>
          </w:p>
        </w:tc>
      </w:tr>
      <w:tr w:rsidR="000871D3" w:rsidRPr="000871D3" w14:paraId="69E0A277" w14:textId="77777777" w:rsidTr="000871D3">
        <w:trPr>
          <w:trHeight w:val="600"/>
        </w:trPr>
        <w:tc>
          <w:tcPr>
            <w:tcW w:w="3476" w:type="dxa"/>
            <w:tcBorders>
              <w:top w:val="nil"/>
              <w:left w:val="nil"/>
              <w:bottom w:val="nil"/>
              <w:right w:val="nil"/>
            </w:tcBorders>
            <w:noWrap/>
            <w:vAlign w:val="center"/>
            <w:hideMark/>
          </w:tcPr>
          <w:p w14:paraId="46C70A0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12350-7:2019-08</w:t>
            </w:r>
          </w:p>
        </w:tc>
        <w:tc>
          <w:tcPr>
            <w:tcW w:w="5596" w:type="dxa"/>
            <w:tcBorders>
              <w:top w:val="nil"/>
              <w:left w:val="nil"/>
              <w:bottom w:val="nil"/>
              <w:right w:val="nil"/>
            </w:tcBorders>
            <w:vAlign w:val="center"/>
            <w:hideMark/>
          </w:tcPr>
          <w:p w14:paraId="5CD81D1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mieszanki betonowej - Część 7: Badanie zawartości powietrza - Metody ciśnieniowe</w:t>
            </w:r>
          </w:p>
        </w:tc>
      </w:tr>
      <w:tr w:rsidR="000871D3" w:rsidRPr="000871D3" w14:paraId="65865C4D" w14:textId="77777777" w:rsidTr="000871D3">
        <w:trPr>
          <w:trHeight w:val="600"/>
        </w:trPr>
        <w:tc>
          <w:tcPr>
            <w:tcW w:w="3476" w:type="dxa"/>
            <w:tcBorders>
              <w:top w:val="nil"/>
              <w:left w:val="nil"/>
              <w:bottom w:val="nil"/>
              <w:right w:val="nil"/>
            </w:tcBorders>
            <w:noWrap/>
            <w:vAlign w:val="center"/>
            <w:hideMark/>
          </w:tcPr>
          <w:p w14:paraId="69C5A86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12350-8:2019-08</w:t>
            </w:r>
          </w:p>
        </w:tc>
        <w:tc>
          <w:tcPr>
            <w:tcW w:w="5596" w:type="dxa"/>
            <w:tcBorders>
              <w:top w:val="nil"/>
              <w:left w:val="nil"/>
              <w:bottom w:val="nil"/>
              <w:right w:val="nil"/>
            </w:tcBorders>
            <w:vAlign w:val="center"/>
            <w:hideMark/>
          </w:tcPr>
          <w:p w14:paraId="5ED9D32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Badania mieszanki betonowej - Część 8: Beton </w:t>
            </w:r>
            <w:proofErr w:type="spellStart"/>
            <w:r w:rsidRPr="000871D3">
              <w:rPr>
                <w:rFonts w:eastAsia="Times New Roman" w:cs="Calibri"/>
                <w:color w:val="000000"/>
                <w:lang w:eastAsia="pl-PL"/>
              </w:rPr>
              <w:t>samozagęszczalny</w:t>
            </w:r>
            <w:proofErr w:type="spellEnd"/>
            <w:r w:rsidRPr="000871D3">
              <w:rPr>
                <w:rFonts w:eastAsia="Times New Roman" w:cs="Calibri"/>
                <w:color w:val="000000"/>
                <w:lang w:eastAsia="pl-PL"/>
              </w:rPr>
              <w:t xml:space="preserve"> - Badanie konsystencji metodą rozpływu stożka</w:t>
            </w:r>
          </w:p>
        </w:tc>
      </w:tr>
      <w:tr w:rsidR="000871D3" w:rsidRPr="000871D3" w14:paraId="4D1A51A3" w14:textId="77777777" w:rsidTr="000871D3">
        <w:trPr>
          <w:trHeight w:val="600"/>
        </w:trPr>
        <w:tc>
          <w:tcPr>
            <w:tcW w:w="3476" w:type="dxa"/>
            <w:tcBorders>
              <w:top w:val="nil"/>
              <w:left w:val="nil"/>
              <w:bottom w:val="nil"/>
              <w:right w:val="nil"/>
            </w:tcBorders>
            <w:noWrap/>
            <w:vAlign w:val="center"/>
            <w:hideMark/>
          </w:tcPr>
          <w:p w14:paraId="6E8FEDB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12350-9:2012</w:t>
            </w:r>
          </w:p>
        </w:tc>
        <w:tc>
          <w:tcPr>
            <w:tcW w:w="5596" w:type="dxa"/>
            <w:tcBorders>
              <w:top w:val="nil"/>
              <w:left w:val="nil"/>
              <w:bottom w:val="nil"/>
              <w:right w:val="nil"/>
            </w:tcBorders>
            <w:vAlign w:val="center"/>
            <w:hideMark/>
          </w:tcPr>
          <w:p w14:paraId="229F1CA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Badania mieszanki betonowej - Część 9: Beton </w:t>
            </w:r>
            <w:proofErr w:type="spellStart"/>
            <w:r w:rsidRPr="000871D3">
              <w:rPr>
                <w:rFonts w:eastAsia="Times New Roman" w:cs="Calibri"/>
                <w:color w:val="000000"/>
                <w:lang w:eastAsia="pl-PL"/>
              </w:rPr>
              <w:t>samozagęszczalny</w:t>
            </w:r>
            <w:proofErr w:type="spellEnd"/>
            <w:r w:rsidRPr="000871D3">
              <w:rPr>
                <w:rFonts w:eastAsia="Times New Roman" w:cs="Calibri"/>
                <w:color w:val="000000"/>
                <w:lang w:eastAsia="pl-PL"/>
              </w:rPr>
              <w:t xml:space="preserve"> - Badanie metodą V-lejka</w:t>
            </w:r>
          </w:p>
        </w:tc>
      </w:tr>
      <w:tr w:rsidR="000871D3" w:rsidRPr="000871D3" w14:paraId="3F2AB071" w14:textId="77777777" w:rsidTr="000871D3">
        <w:trPr>
          <w:trHeight w:val="600"/>
        </w:trPr>
        <w:tc>
          <w:tcPr>
            <w:tcW w:w="3476" w:type="dxa"/>
            <w:tcBorders>
              <w:top w:val="nil"/>
              <w:left w:val="nil"/>
              <w:bottom w:val="nil"/>
              <w:right w:val="nil"/>
            </w:tcBorders>
            <w:noWrap/>
            <w:vAlign w:val="center"/>
            <w:hideMark/>
          </w:tcPr>
          <w:p w14:paraId="05BAAB7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12390-10:2019-02</w:t>
            </w:r>
          </w:p>
        </w:tc>
        <w:tc>
          <w:tcPr>
            <w:tcW w:w="5596" w:type="dxa"/>
            <w:tcBorders>
              <w:top w:val="nil"/>
              <w:left w:val="nil"/>
              <w:bottom w:val="nil"/>
              <w:right w:val="nil"/>
            </w:tcBorders>
            <w:vAlign w:val="center"/>
            <w:hideMark/>
          </w:tcPr>
          <w:p w14:paraId="654FBDA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10: Oznaczanie odporności betonu na karbonatyzację w warunkach stężeń dwutlenku węgla na poziomie atmosferycznym</w:t>
            </w:r>
          </w:p>
        </w:tc>
      </w:tr>
      <w:tr w:rsidR="000871D3" w:rsidRPr="000871D3" w14:paraId="3102DFBA" w14:textId="77777777" w:rsidTr="000871D3">
        <w:trPr>
          <w:trHeight w:val="600"/>
        </w:trPr>
        <w:tc>
          <w:tcPr>
            <w:tcW w:w="3476" w:type="dxa"/>
            <w:tcBorders>
              <w:top w:val="nil"/>
              <w:left w:val="nil"/>
              <w:bottom w:val="nil"/>
              <w:right w:val="nil"/>
            </w:tcBorders>
            <w:noWrap/>
            <w:vAlign w:val="center"/>
            <w:hideMark/>
          </w:tcPr>
          <w:p w14:paraId="63BFA88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12390-11:2015-09</w:t>
            </w:r>
          </w:p>
        </w:tc>
        <w:tc>
          <w:tcPr>
            <w:tcW w:w="5596" w:type="dxa"/>
            <w:tcBorders>
              <w:top w:val="nil"/>
              <w:left w:val="nil"/>
              <w:bottom w:val="nil"/>
              <w:right w:val="nil"/>
            </w:tcBorders>
            <w:vAlign w:val="center"/>
            <w:hideMark/>
          </w:tcPr>
          <w:p w14:paraId="4AB230B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11: Oznaczanie odporności betonu na wnikanie chlorków w warunkach jednokierunkowej dyfuzji</w:t>
            </w:r>
          </w:p>
        </w:tc>
      </w:tr>
      <w:tr w:rsidR="000871D3" w:rsidRPr="000871D3" w14:paraId="6984967A" w14:textId="77777777" w:rsidTr="000871D3">
        <w:trPr>
          <w:trHeight w:val="600"/>
        </w:trPr>
        <w:tc>
          <w:tcPr>
            <w:tcW w:w="3476" w:type="dxa"/>
            <w:tcBorders>
              <w:top w:val="nil"/>
              <w:left w:val="nil"/>
              <w:bottom w:val="nil"/>
              <w:right w:val="nil"/>
            </w:tcBorders>
            <w:noWrap/>
            <w:vAlign w:val="center"/>
            <w:hideMark/>
          </w:tcPr>
          <w:p w14:paraId="564DABD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12390-12:2020-06</w:t>
            </w:r>
          </w:p>
        </w:tc>
        <w:tc>
          <w:tcPr>
            <w:tcW w:w="5596" w:type="dxa"/>
            <w:tcBorders>
              <w:top w:val="nil"/>
              <w:left w:val="nil"/>
              <w:bottom w:val="nil"/>
              <w:right w:val="nil"/>
            </w:tcBorders>
            <w:vAlign w:val="center"/>
            <w:hideMark/>
          </w:tcPr>
          <w:p w14:paraId="7CC6966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12: Oznaczanie odporności betonu na karbonatyzację - Przyspieszona metoda karbonatyzacji</w:t>
            </w:r>
          </w:p>
        </w:tc>
      </w:tr>
      <w:tr w:rsidR="000871D3" w:rsidRPr="000871D3" w14:paraId="11C6BBE4" w14:textId="77777777" w:rsidTr="000871D3">
        <w:trPr>
          <w:trHeight w:val="600"/>
        </w:trPr>
        <w:tc>
          <w:tcPr>
            <w:tcW w:w="3476" w:type="dxa"/>
            <w:tcBorders>
              <w:top w:val="nil"/>
              <w:left w:val="nil"/>
              <w:bottom w:val="nil"/>
              <w:right w:val="nil"/>
            </w:tcBorders>
            <w:noWrap/>
            <w:vAlign w:val="center"/>
            <w:hideMark/>
          </w:tcPr>
          <w:p w14:paraId="1E8DB4D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12390-13:2021-12</w:t>
            </w:r>
          </w:p>
        </w:tc>
        <w:tc>
          <w:tcPr>
            <w:tcW w:w="5596" w:type="dxa"/>
            <w:tcBorders>
              <w:top w:val="nil"/>
              <w:left w:val="nil"/>
              <w:bottom w:val="nil"/>
              <w:right w:val="nil"/>
            </w:tcBorders>
            <w:vAlign w:val="center"/>
            <w:hideMark/>
          </w:tcPr>
          <w:p w14:paraId="3D5F72D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13: Wyznaczanie siecznego modułu sprężystości przy ściskaniu</w:t>
            </w:r>
          </w:p>
        </w:tc>
      </w:tr>
      <w:tr w:rsidR="000871D3" w:rsidRPr="000871D3" w14:paraId="7B357923" w14:textId="77777777" w:rsidTr="000871D3">
        <w:trPr>
          <w:trHeight w:val="600"/>
        </w:trPr>
        <w:tc>
          <w:tcPr>
            <w:tcW w:w="3476" w:type="dxa"/>
            <w:tcBorders>
              <w:top w:val="nil"/>
              <w:left w:val="nil"/>
              <w:bottom w:val="nil"/>
              <w:right w:val="nil"/>
            </w:tcBorders>
            <w:noWrap/>
            <w:vAlign w:val="center"/>
            <w:hideMark/>
          </w:tcPr>
          <w:p w14:paraId="1022DC5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12390-14:2018-10</w:t>
            </w:r>
          </w:p>
        </w:tc>
        <w:tc>
          <w:tcPr>
            <w:tcW w:w="5596" w:type="dxa"/>
            <w:tcBorders>
              <w:top w:val="nil"/>
              <w:left w:val="nil"/>
              <w:bottom w:val="nil"/>
              <w:right w:val="nil"/>
            </w:tcBorders>
            <w:vAlign w:val="center"/>
            <w:hideMark/>
          </w:tcPr>
          <w:p w14:paraId="246CC10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Badania betonu - Część 14: </w:t>
            </w:r>
            <w:proofErr w:type="spellStart"/>
            <w:r w:rsidRPr="000871D3">
              <w:rPr>
                <w:rFonts w:eastAsia="Times New Roman" w:cs="Calibri"/>
                <w:color w:val="000000"/>
                <w:lang w:eastAsia="pl-PL"/>
              </w:rPr>
              <w:t>Semi</w:t>
            </w:r>
            <w:proofErr w:type="spellEnd"/>
            <w:r w:rsidRPr="000871D3">
              <w:rPr>
                <w:rFonts w:eastAsia="Times New Roman" w:cs="Calibri"/>
                <w:color w:val="000000"/>
                <w:lang w:eastAsia="pl-PL"/>
              </w:rPr>
              <w:t>-adiabatyczna metoda oznaczania ciepła wydzielanego podczas procesu twardnienia betonu</w:t>
            </w:r>
          </w:p>
        </w:tc>
      </w:tr>
      <w:tr w:rsidR="000871D3" w:rsidRPr="000871D3" w14:paraId="0DAAB649" w14:textId="77777777" w:rsidTr="000871D3">
        <w:trPr>
          <w:trHeight w:val="600"/>
        </w:trPr>
        <w:tc>
          <w:tcPr>
            <w:tcW w:w="3476" w:type="dxa"/>
            <w:tcBorders>
              <w:top w:val="nil"/>
              <w:left w:val="nil"/>
              <w:bottom w:val="nil"/>
              <w:right w:val="nil"/>
            </w:tcBorders>
            <w:noWrap/>
            <w:vAlign w:val="center"/>
            <w:hideMark/>
          </w:tcPr>
          <w:p w14:paraId="4D7526E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12390-15:2019-11</w:t>
            </w:r>
          </w:p>
        </w:tc>
        <w:tc>
          <w:tcPr>
            <w:tcW w:w="5596" w:type="dxa"/>
            <w:tcBorders>
              <w:top w:val="nil"/>
              <w:left w:val="nil"/>
              <w:bottom w:val="nil"/>
              <w:right w:val="nil"/>
            </w:tcBorders>
            <w:vAlign w:val="center"/>
            <w:hideMark/>
          </w:tcPr>
          <w:p w14:paraId="2261669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15: Adiabatyczna metoda oznaczania ciepła wydzielanego podczas procesu twardnienia betonu</w:t>
            </w:r>
          </w:p>
        </w:tc>
      </w:tr>
      <w:tr w:rsidR="000871D3" w:rsidRPr="000871D3" w14:paraId="6AD6F736" w14:textId="77777777" w:rsidTr="000871D3">
        <w:trPr>
          <w:trHeight w:val="300"/>
        </w:trPr>
        <w:tc>
          <w:tcPr>
            <w:tcW w:w="3476" w:type="dxa"/>
            <w:tcBorders>
              <w:top w:val="nil"/>
              <w:left w:val="nil"/>
              <w:bottom w:val="nil"/>
              <w:right w:val="nil"/>
            </w:tcBorders>
            <w:noWrap/>
            <w:vAlign w:val="center"/>
            <w:hideMark/>
          </w:tcPr>
          <w:p w14:paraId="691FBDC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12390-16:2020-03</w:t>
            </w:r>
          </w:p>
        </w:tc>
        <w:tc>
          <w:tcPr>
            <w:tcW w:w="5596" w:type="dxa"/>
            <w:tcBorders>
              <w:top w:val="nil"/>
              <w:left w:val="nil"/>
              <w:bottom w:val="nil"/>
              <w:right w:val="nil"/>
            </w:tcBorders>
            <w:vAlign w:val="center"/>
            <w:hideMark/>
          </w:tcPr>
          <w:p w14:paraId="01C12C8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16: Oznaczanie skurczu betonu</w:t>
            </w:r>
          </w:p>
        </w:tc>
      </w:tr>
      <w:tr w:rsidR="000871D3" w:rsidRPr="000871D3" w14:paraId="49A2877C" w14:textId="77777777" w:rsidTr="000871D3">
        <w:trPr>
          <w:trHeight w:val="300"/>
        </w:trPr>
        <w:tc>
          <w:tcPr>
            <w:tcW w:w="3476" w:type="dxa"/>
            <w:tcBorders>
              <w:top w:val="nil"/>
              <w:left w:val="nil"/>
              <w:bottom w:val="nil"/>
              <w:right w:val="nil"/>
            </w:tcBorders>
            <w:noWrap/>
            <w:vAlign w:val="center"/>
            <w:hideMark/>
          </w:tcPr>
          <w:p w14:paraId="53D6B23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12390-17:2020-03</w:t>
            </w:r>
          </w:p>
        </w:tc>
        <w:tc>
          <w:tcPr>
            <w:tcW w:w="5596" w:type="dxa"/>
            <w:tcBorders>
              <w:top w:val="nil"/>
              <w:left w:val="nil"/>
              <w:bottom w:val="nil"/>
              <w:right w:val="nil"/>
            </w:tcBorders>
            <w:vAlign w:val="center"/>
            <w:hideMark/>
          </w:tcPr>
          <w:p w14:paraId="6E80434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17: Oznaczanie pełzania betonu przy ściskaniu</w:t>
            </w:r>
          </w:p>
        </w:tc>
      </w:tr>
      <w:tr w:rsidR="000871D3" w:rsidRPr="000871D3" w14:paraId="2B179AB3" w14:textId="77777777" w:rsidTr="000871D3">
        <w:trPr>
          <w:trHeight w:val="300"/>
        </w:trPr>
        <w:tc>
          <w:tcPr>
            <w:tcW w:w="3476" w:type="dxa"/>
            <w:tcBorders>
              <w:top w:val="nil"/>
              <w:left w:val="nil"/>
              <w:bottom w:val="nil"/>
              <w:right w:val="nil"/>
            </w:tcBorders>
            <w:noWrap/>
            <w:vAlign w:val="center"/>
            <w:hideMark/>
          </w:tcPr>
          <w:p w14:paraId="7B3487F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12390-18:2021-08</w:t>
            </w:r>
          </w:p>
        </w:tc>
        <w:tc>
          <w:tcPr>
            <w:tcW w:w="5596" w:type="dxa"/>
            <w:tcBorders>
              <w:top w:val="nil"/>
              <w:left w:val="nil"/>
              <w:bottom w:val="nil"/>
              <w:right w:val="nil"/>
            </w:tcBorders>
            <w:vAlign w:val="center"/>
            <w:hideMark/>
          </w:tcPr>
          <w:p w14:paraId="295132D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Badania betonu - Cześć 18: Oznaczanie współczynnika </w:t>
            </w:r>
            <w:r w:rsidRPr="000871D3">
              <w:rPr>
                <w:rFonts w:eastAsia="Times New Roman" w:cs="Calibri"/>
                <w:color w:val="000000"/>
                <w:lang w:eastAsia="pl-PL"/>
              </w:rPr>
              <w:lastRenderedPageBreak/>
              <w:t>migracji chlorków</w:t>
            </w:r>
          </w:p>
        </w:tc>
      </w:tr>
      <w:tr w:rsidR="000871D3" w:rsidRPr="000871D3" w14:paraId="236F42FA" w14:textId="77777777" w:rsidTr="000871D3">
        <w:trPr>
          <w:trHeight w:val="600"/>
        </w:trPr>
        <w:tc>
          <w:tcPr>
            <w:tcW w:w="3476" w:type="dxa"/>
            <w:tcBorders>
              <w:top w:val="nil"/>
              <w:left w:val="nil"/>
              <w:bottom w:val="nil"/>
              <w:right w:val="nil"/>
            </w:tcBorders>
            <w:noWrap/>
            <w:vAlign w:val="center"/>
            <w:hideMark/>
          </w:tcPr>
          <w:p w14:paraId="43969AE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lastRenderedPageBreak/>
              <w:t>PN-EN 12390-1:2021-12</w:t>
            </w:r>
          </w:p>
        </w:tc>
        <w:tc>
          <w:tcPr>
            <w:tcW w:w="5596" w:type="dxa"/>
            <w:tcBorders>
              <w:top w:val="nil"/>
              <w:left w:val="nil"/>
              <w:bottom w:val="nil"/>
              <w:right w:val="nil"/>
            </w:tcBorders>
            <w:vAlign w:val="center"/>
            <w:hideMark/>
          </w:tcPr>
          <w:p w14:paraId="03C1232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1: Kształt, wymiary i inne wymagania dotyczące próbek do badań i form</w:t>
            </w:r>
          </w:p>
        </w:tc>
      </w:tr>
      <w:tr w:rsidR="000871D3" w:rsidRPr="000871D3" w14:paraId="683036A2" w14:textId="77777777" w:rsidTr="000871D3">
        <w:trPr>
          <w:trHeight w:val="600"/>
        </w:trPr>
        <w:tc>
          <w:tcPr>
            <w:tcW w:w="3476" w:type="dxa"/>
            <w:tcBorders>
              <w:top w:val="nil"/>
              <w:left w:val="nil"/>
              <w:bottom w:val="nil"/>
              <w:right w:val="nil"/>
            </w:tcBorders>
            <w:noWrap/>
            <w:vAlign w:val="center"/>
            <w:hideMark/>
          </w:tcPr>
          <w:p w14:paraId="7E692B3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12390-2:2019-07</w:t>
            </w:r>
          </w:p>
        </w:tc>
        <w:tc>
          <w:tcPr>
            <w:tcW w:w="5596" w:type="dxa"/>
            <w:tcBorders>
              <w:top w:val="nil"/>
              <w:left w:val="nil"/>
              <w:bottom w:val="nil"/>
              <w:right w:val="nil"/>
            </w:tcBorders>
            <w:vAlign w:val="center"/>
            <w:hideMark/>
          </w:tcPr>
          <w:p w14:paraId="23AABD6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2: Wykonywanie i pielęgnacja próbek do badań wytrzymałościowych</w:t>
            </w:r>
          </w:p>
        </w:tc>
      </w:tr>
      <w:tr w:rsidR="000871D3" w:rsidRPr="000871D3" w14:paraId="1E5B0B2A" w14:textId="77777777" w:rsidTr="000871D3">
        <w:trPr>
          <w:trHeight w:val="300"/>
        </w:trPr>
        <w:tc>
          <w:tcPr>
            <w:tcW w:w="3476" w:type="dxa"/>
            <w:tcBorders>
              <w:top w:val="nil"/>
              <w:left w:val="nil"/>
              <w:bottom w:val="nil"/>
              <w:right w:val="nil"/>
            </w:tcBorders>
            <w:noWrap/>
            <w:vAlign w:val="center"/>
            <w:hideMark/>
          </w:tcPr>
          <w:p w14:paraId="1CACE37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12390-3:2019-07</w:t>
            </w:r>
          </w:p>
        </w:tc>
        <w:tc>
          <w:tcPr>
            <w:tcW w:w="5596" w:type="dxa"/>
            <w:tcBorders>
              <w:top w:val="nil"/>
              <w:left w:val="nil"/>
              <w:bottom w:val="nil"/>
              <w:right w:val="nil"/>
            </w:tcBorders>
            <w:vAlign w:val="center"/>
            <w:hideMark/>
          </w:tcPr>
          <w:p w14:paraId="2F9FBE7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3: Wytrzymałość na ściskanie próbek do badań</w:t>
            </w:r>
          </w:p>
        </w:tc>
      </w:tr>
      <w:tr w:rsidR="000871D3" w:rsidRPr="000871D3" w14:paraId="2EC2CDEF" w14:textId="77777777" w:rsidTr="000871D3">
        <w:trPr>
          <w:trHeight w:val="600"/>
        </w:trPr>
        <w:tc>
          <w:tcPr>
            <w:tcW w:w="3476" w:type="dxa"/>
            <w:tcBorders>
              <w:top w:val="nil"/>
              <w:left w:val="nil"/>
              <w:bottom w:val="nil"/>
              <w:right w:val="nil"/>
            </w:tcBorders>
            <w:noWrap/>
            <w:vAlign w:val="center"/>
            <w:hideMark/>
          </w:tcPr>
          <w:p w14:paraId="25C8109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12390-4:2020-03</w:t>
            </w:r>
          </w:p>
        </w:tc>
        <w:tc>
          <w:tcPr>
            <w:tcW w:w="5596" w:type="dxa"/>
            <w:tcBorders>
              <w:top w:val="nil"/>
              <w:left w:val="nil"/>
              <w:bottom w:val="nil"/>
              <w:right w:val="nil"/>
            </w:tcBorders>
            <w:vAlign w:val="center"/>
            <w:hideMark/>
          </w:tcPr>
          <w:p w14:paraId="0732466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4: Wytrzymałość na ściskanie - Wymagania dla maszyn wytrzymałościowych</w:t>
            </w:r>
          </w:p>
        </w:tc>
      </w:tr>
      <w:tr w:rsidR="000871D3" w:rsidRPr="000871D3" w14:paraId="2C49C87A" w14:textId="77777777" w:rsidTr="000871D3">
        <w:trPr>
          <w:trHeight w:val="300"/>
        </w:trPr>
        <w:tc>
          <w:tcPr>
            <w:tcW w:w="3476" w:type="dxa"/>
            <w:tcBorders>
              <w:top w:val="nil"/>
              <w:left w:val="nil"/>
              <w:bottom w:val="nil"/>
              <w:right w:val="nil"/>
            </w:tcBorders>
            <w:noWrap/>
            <w:vAlign w:val="center"/>
            <w:hideMark/>
          </w:tcPr>
          <w:p w14:paraId="0263036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12390-5:2019-08</w:t>
            </w:r>
          </w:p>
        </w:tc>
        <w:tc>
          <w:tcPr>
            <w:tcW w:w="5596" w:type="dxa"/>
            <w:tcBorders>
              <w:top w:val="nil"/>
              <w:left w:val="nil"/>
              <w:bottom w:val="nil"/>
              <w:right w:val="nil"/>
            </w:tcBorders>
            <w:vAlign w:val="center"/>
            <w:hideMark/>
          </w:tcPr>
          <w:p w14:paraId="2B851A2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5: Wytrzymałość na zginanie próbek do badań</w:t>
            </w:r>
          </w:p>
        </w:tc>
      </w:tr>
      <w:tr w:rsidR="000871D3" w:rsidRPr="000871D3" w14:paraId="23272926" w14:textId="77777777" w:rsidTr="000871D3">
        <w:trPr>
          <w:trHeight w:val="600"/>
        </w:trPr>
        <w:tc>
          <w:tcPr>
            <w:tcW w:w="3476" w:type="dxa"/>
            <w:tcBorders>
              <w:top w:val="nil"/>
              <w:left w:val="nil"/>
              <w:bottom w:val="nil"/>
              <w:right w:val="nil"/>
            </w:tcBorders>
            <w:noWrap/>
            <w:vAlign w:val="center"/>
            <w:hideMark/>
          </w:tcPr>
          <w:p w14:paraId="259CCD8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12390-6:2011</w:t>
            </w:r>
          </w:p>
        </w:tc>
        <w:tc>
          <w:tcPr>
            <w:tcW w:w="5596" w:type="dxa"/>
            <w:tcBorders>
              <w:top w:val="nil"/>
              <w:left w:val="nil"/>
              <w:bottom w:val="nil"/>
              <w:right w:val="nil"/>
            </w:tcBorders>
            <w:vAlign w:val="center"/>
            <w:hideMark/>
          </w:tcPr>
          <w:p w14:paraId="0B85B2C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6: Wytrzymałość na rozciąganie przy rozłupywaniu próbek do badań</w:t>
            </w:r>
          </w:p>
        </w:tc>
      </w:tr>
      <w:tr w:rsidR="000871D3" w:rsidRPr="000871D3" w14:paraId="5ED0FBC0" w14:textId="77777777" w:rsidTr="000871D3">
        <w:trPr>
          <w:trHeight w:val="300"/>
        </w:trPr>
        <w:tc>
          <w:tcPr>
            <w:tcW w:w="3476" w:type="dxa"/>
            <w:tcBorders>
              <w:top w:val="nil"/>
              <w:left w:val="nil"/>
              <w:bottom w:val="nil"/>
              <w:right w:val="nil"/>
            </w:tcBorders>
            <w:noWrap/>
            <w:vAlign w:val="center"/>
            <w:hideMark/>
          </w:tcPr>
          <w:p w14:paraId="30624F8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12390-7:2019-08</w:t>
            </w:r>
          </w:p>
        </w:tc>
        <w:tc>
          <w:tcPr>
            <w:tcW w:w="5596" w:type="dxa"/>
            <w:tcBorders>
              <w:top w:val="nil"/>
              <w:left w:val="nil"/>
              <w:bottom w:val="nil"/>
              <w:right w:val="nil"/>
            </w:tcBorders>
            <w:vAlign w:val="center"/>
            <w:hideMark/>
          </w:tcPr>
          <w:p w14:paraId="4691B4C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7: Gęstość betonu</w:t>
            </w:r>
          </w:p>
        </w:tc>
      </w:tr>
      <w:tr w:rsidR="000871D3" w:rsidRPr="000871D3" w14:paraId="67CDE51C" w14:textId="77777777" w:rsidTr="000871D3">
        <w:trPr>
          <w:trHeight w:val="300"/>
        </w:trPr>
        <w:tc>
          <w:tcPr>
            <w:tcW w:w="3476" w:type="dxa"/>
            <w:tcBorders>
              <w:top w:val="nil"/>
              <w:left w:val="nil"/>
              <w:bottom w:val="nil"/>
              <w:right w:val="nil"/>
            </w:tcBorders>
            <w:noWrap/>
            <w:vAlign w:val="center"/>
            <w:hideMark/>
          </w:tcPr>
          <w:p w14:paraId="1256DD3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12390-8:2019-08</w:t>
            </w:r>
          </w:p>
        </w:tc>
        <w:tc>
          <w:tcPr>
            <w:tcW w:w="5596" w:type="dxa"/>
            <w:tcBorders>
              <w:top w:val="nil"/>
              <w:left w:val="nil"/>
              <w:bottom w:val="nil"/>
              <w:right w:val="nil"/>
            </w:tcBorders>
            <w:vAlign w:val="center"/>
            <w:hideMark/>
          </w:tcPr>
          <w:p w14:paraId="2970CF4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Badania betonu - Część 8: Głębokość penetracji wody pod ciśnieniem</w:t>
            </w:r>
          </w:p>
        </w:tc>
      </w:tr>
      <w:tr w:rsidR="000871D3" w:rsidRPr="000871D3" w14:paraId="7EF7118D" w14:textId="77777777" w:rsidTr="000871D3">
        <w:trPr>
          <w:trHeight w:val="300"/>
        </w:trPr>
        <w:tc>
          <w:tcPr>
            <w:tcW w:w="3476" w:type="dxa"/>
            <w:tcBorders>
              <w:top w:val="nil"/>
              <w:left w:val="nil"/>
              <w:bottom w:val="nil"/>
              <w:right w:val="nil"/>
            </w:tcBorders>
            <w:noWrap/>
            <w:vAlign w:val="center"/>
            <w:hideMark/>
          </w:tcPr>
          <w:p w14:paraId="60DB541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12620+A1:2010</w:t>
            </w:r>
          </w:p>
        </w:tc>
        <w:tc>
          <w:tcPr>
            <w:tcW w:w="5596" w:type="dxa"/>
            <w:tcBorders>
              <w:top w:val="nil"/>
              <w:left w:val="nil"/>
              <w:bottom w:val="nil"/>
              <w:right w:val="nil"/>
            </w:tcBorders>
            <w:vAlign w:val="center"/>
            <w:hideMark/>
          </w:tcPr>
          <w:p w14:paraId="5935C5E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Kruszywa do betonu</w:t>
            </w:r>
          </w:p>
        </w:tc>
      </w:tr>
      <w:tr w:rsidR="000871D3" w:rsidRPr="000871D3" w14:paraId="5F3423F7" w14:textId="77777777" w:rsidTr="000871D3">
        <w:trPr>
          <w:trHeight w:val="900"/>
        </w:trPr>
        <w:tc>
          <w:tcPr>
            <w:tcW w:w="3476" w:type="dxa"/>
            <w:tcBorders>
              <w:top w:val="nil"/>
              <w:left w:val="nil"/>
              <w:bottom w:val="nil"/>
              <w:right w:val="nil"/>
            </w:tcBorders>
            <w:noWrap/>
            <w:vAlign w:val="center"/>
            <w:hideMark/>
          </w:tcPr>
          <w:p w14:paraId="6769431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22633:2020-01</w:t>
            </w:r>
          </w:p>
        </w:tc>
        <w:tc>
          <w:tcPr>
            <w:tcW w:w="5596" w:type="dxa"/>
            <w:tcBorders>
              <w:top w:val="nil"/>
              <w:left w:val="nil"/>
              <w:bottom w:val="nil"/>
              <w:right w:val="nil"/>
            </w:tcBorders>
            <w:vAlign w:val="center"/>
            <w:hideMark/>
          </w:tcPr>
          <w:p w14:paraId="4C4070C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Kleje - Metody badań klejów do wykładzin podłogowych i okładzin ściennych - Oznaczanie zmiany wymiarów wykładzin podłogowych typu linoleum przy kontakcie z klejem</w:t>
            </w:r>
          </w:p>
        </w:tc>
      </w:tr>
      <w:tr w:rsidR="000871D3" w:rsidRPr="000871D3" w14:paraId="3636250B" w14:textId="77777777" w:rsidTr="000871D3">
        <w:trPr>
          <w:trHeight w:val="600"/>
        </w:trPr>
        <w:tc>
          <w:tcPr>
            <w:tcW w:w="3476" w:type="dxa"/>
            <w:tcBorders>
              <w:top w:val="nil"/>
              <w:left w:val="nil"/>
              <w:bottom w:val="nil"/>
              <w:right w:val="nil"/>
            </w:tcBorders>
            <w:noWrap/>
            <w:vAlign w:val="center"/>
            <w:hideMark/>
          </w:tcPr>
          <w:p w14:paraId="6E549D1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10545-3:2018-05</w:t>
            </w:r>
          </w:p>
        </w:tc>
        <w:tc>
          <w:tcPr>
            <w:tcW w:w="5596" w:type="dxa"/>
            <w:tcBorders>
              <w:top w:val="nil"/>
              <w:left w:val="nil"/>
              <w:bottom w:val="nil"/>
              <w:right w:val="nil"/>
            </w:tcBorders>
            <w:vAlign w:val="center"/>
            <w:hideMark/>
          </w:tcPr>
          <w:p w14:paraId="3F1C27F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3: Oznaczanie nasiąkliwości wodnej, porowatości otwartej, gęstości względnej pozornej oraz gęstości całkowitej</w:t>
            </w:r>
          </w:p>
        </w:tc>
      </w:tr>
      <w:tr w:rsidR="000871D3" w:rsidRPr="000871D3" w14:paraId="698A8380" w14:textId="77777777" w:rsidTr="000871D3">
        <w:trPr>
          <w:trHeight w:val="600"/>
        </w:trPr>
        <w:tc>
          <w:tcPr>
            <w:tcW w:w="3476" w:type="dxa"/>
            <w:tcBorders>
              <w:top w:val="nil"/>
              <w:left w:val="nil"/>
              <w:bottom w:val="nil"/>
              <w:right w:val="nil"/>
            </w:tcBorders>
            <w:noWrap/>
            <w:vAlign w:val="center"/>
            <w:hideMark/>
          </w:tcPr>
          <w:p w14:paraId="5637E99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10545-4:2019-04</w:t>
            </w:r>
          </w:p>
        </w:tc>
        <w:tc>
          <w:tcPr>
            <w:tcW w:w="5596" w:type="dxa"/>
            <w:tcBorders>
              <w:top w:val="nil"/>
              <w:left w:val="nil"/>
              <w:bottom w:val="nil"/>
              <w:right w:val="nil"/>
            </w:tcBorders>
            <w:vAlign w:val="center"/>
            <w:hideMark/>
          </w:tcPr>
          <w:p w14:paraId="3A083FF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4: Oznaczanie wytrzymałości na zginanie i siły łamiącej</w:t>
            </w:r>
          </w:p>
        </w:tc>
      </w:tr>
      <w:tr w:rsidR="000871D3" w:rsidRPr="000871D3" w14:paraId="5CB7B933" w14:textId="77777777" w:rsidTr="000871D3">
        <w:trPr>
          <w:trHeight w:val="300"/>
        </w:trPr>
        <w:tc>
          <w:tcPr>
            <w:tcW w:w="3476" w:type="dxa"/>
            <w:tcBorders>
              <w:top w:val="nil"/>
              <w:left w:val="nil"/>
              <w:bottom w:val="nil"/>
              <w:right w:val="nil"/>
            </w:tcBorders>
            <w:noWrap/>
            <w:vAlign w:val="center"/>
            <w:hideMark/>
          </w:tcPr>
          <w:p w14:paraId="01E3BC1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10545-8:2014-09</w:t>
            </w:r>
          </w:p>
        </w:tc>
        <w:tc>
          <w:tcPr>
            <w:tcW w:w="5596" w:type="dxa"/>
            <w:tcBorders>
              <w:top w:val="nil"/>
              <w:left w:val="nil"/>
              <w:bottom w:val="nil"/>
              <w:right w:val="nil"/>
            </w:tcBorders>
            <w:vAlign w:val="center"/>
            <w:hideMark/>
          </w:tcPr>
          <w:p w14:paraId="18B46C9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8: Oznaczanie cieplnej rozszerzalności liniowej</w:t>
            </w:r>
          </w:p>
        </w:tc>
      </w:tr>
      <w:tr w:rsidR="000871D3" w:rsidRPr="000871D3" w14:paraId="0211B50F" w14:textId="77777777" w:rsidTr="000871D3">
        <w:trPr>
          <w:trHeight w:val="300"/>
        </w:trPr>
        <w:tc>
          <w:tcPr>
            <w:tcW w:w="3476" w:type="dxa"/>
            <w:tcBorders>
              <w:top w:val="nil"/>
              <w:left w:val="nil"/>
              <w:bottom w:val="nil"/>
              <w:right w:val="nil"/>
            </w:tcBorders>
            <w:noWrap/>
            <w:vAlign w:val="center"/>
            <w:hideMark/>
          </w:tcPr>
          <w:p w14:paraId="0F48B52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10545-12:1999</w:t>
            </w:r>
          </w:p>
        </w:tc>
        <w:tc>
          <w:tcPr>
            <w:tcW w:w="5596" w:type="dxa"/>
            <w:tcBorders>
              <w:top w:val="nil"/>
              <w:left w:val="nil"/>
              <w:bottom w:val="nil"/>
              <w:right w:val="nil"/>
            </w:tcBorders>
            <w:vAlign w:val="center"/>
            <w:hideMark/>
          </w:tcPr>
          <w:p w14:paraId="735AEBB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Oznaczanie mrozoodporności</w:t>
            </w:r>
          </w:p>
        </w:tc>
      </w:tr>
      <w:tr w:rsidR="000871D3" w:rsidRPr="000871D3" w14:paraId="6723D1C0" w14:textId="77777777" w:rsidTr="000871D3">
        <w:trPr>
          <w:trHeight w:val="600"/>
        </w:trPr>
        <w:tc>
          <w:tcPr>
            <w:tcW w:w="3476" w:type="dxa"/>
            <w:tcBorders>
              <w:top w:val="nil"/>
              <w:left w:val="nil"/>
              <w:bottom w:val="nil"/>
              <w:right w:val="nil"/>
            </w:tcBorders>
            <w:noWrap/>
            <w:vAlign w:val="center"/>
            <w:hideMark/>
          </w:tcPr>
          <w:p w14:paraId="7C5BB16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10545-6:2012</w:t>
            </w:r>
          </w:p>
        </w:tc>
        <w:tc>
          <w:tcPr>
            <w:tcW w:w="5596" w:type="dxa"/>
            <w:tcBorders>
              <w:top w:val="nil"/>
              <w:left w:val="nil"/>
              <w:bottom w:val="nil"/>
              <w:right w:val="nil"/>
            </w:tcBorders>
            <w:vAlign w:val="center"/>
            <w:hideMark/>
          </w:tcPr>
          <w:p w14:paraId="64B0A12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6: Oznaczanie odporności na wgłębne ścieranie płytek nieszkliwionych</w:t>
            </w:r>
          </w:p>
        </w:tc>
      </w:tr>
      <w:tr w:rsidR="000871D3" w:rsidRPr="000871D3" w14:paraId="28B52F0D" w14:textId="77777777" w:rsidTr="000871D3">
        <w:trPr>
          <w:trHeight w:val="300"/>
        </w:trPr>
        <w:tc>
          <w:tcPr>
            <w:tcW w:w="3476" w:type="dxa"/>
            <w:tcBorders>
              <w:top w:val="nil"/>
              <w:left w:val="nil"/>
              <w:bottom w:val="nil"/>
              <w:right w:val="nil"/>
            </w:tcBorders>
            <w:noWrap/>
            <w:vAlign w:val="center"/>
            <w:hideMark/>
          </w:tcPr>
          <w:p w14:paraId="6432988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10545-10:2021-12</w:t>
            </w:r>
          </w:p>
        </w:tc>
        <w:tc>
          <w:tcPr>
            <w:tcW w:w="5596" w:type="dxa"/>
            <w:tcBorders>
              <w:top w:val="nil"/>
              <w:left w:val="nil"/>
              <w:bottom w:val="nil"/>
              <w:right w:val="nil"/>
            </w:tcBorders>
            <w:vAlign w:val="center"/>
            <w:hideMark/>
          </w:tcPr>
          <w:p w14:paraId="041159F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10: Oznaczanie rozszerzalności wodnej</w:t>
            </w:r>
          </w:p>
        </w:tc>
      </w:tr>
      <w:tr w:rsidR="000871D3" w:rsidRPr="000871D3" w14:paraId="1C8C8EED" w14:textId="77777777" w:rsidTr="000871D3">
        <w:trPr>
          <w:trHeight w:val="600"/>
        </w:trPr>
        <w:tc>
          <w:tcPr>
            <w:tcW w:w="3476" w:type="dxa"/>
            <w:tcBorders>
              <w:top w:val="nil"/>
              <w:left w:val="nil"/>
              <w:bottom w:val="nil"/>
              <w:right w:val="nil"/>
            </w:tcBorders>
            <w:noWrap/>
            <w:vAlign w:val="center"/>
            <w:hideMark/>
          </w:tcPr>
          <w:p w14:paraId="49DAC2C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10545-11:1998</w:t>
            </w:r>
          </w:p>
        </w:tc>
        <w:tc>
          <w:tcPr>
            <w:tcW w:w="5596" w:type="dxa"/>
            <w:tcBorders>
              <w:top w:val="nil"/>
              <w:left w:val="nil"/>
              <w:bottom w:val="nil"/>
              <w:right w:val="nil"/>
            </w:tcBorders>
            <w:vAlign w:val="center"/>
            <w:hideMark/>
          </w:tcPr>
          <w:p w14:paraId="686F9AA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Oznaczanie odporności na pęknięcia włoskowate płytek szkliwionych</w:t>
            </w:r>
          </w:p>
        </w:tc>
      </w:tr>
      <w:tr w:rsidR="000871D3" w:rsidRPr="000871D3" w14:paraId="63A6513E" w14:textId="77777777" w:rsidTr="000871D3">
        <w:trPr>
          <w:trHeight w:val="300"/>
        </w:trPr>
        <w:tc>
          <w:tcPr>
            <w:tcW w:w="3476" w:type="dxa"/>
            <w:tcBorders>
              <w:top w:val="nil"/>
              <w:left w:val="nil"/>
              <w:bottom w:val="nil"/>
              <w:right w:val="nil"/>
            </w:tcBorders>
            <w:noWrap/>
            <w:vAlign w:val="center"/>
            <w:hideMark/>
          </w:tcPr>
          <w:p w14:paraId="5753CB8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10545-13:2017-01</w:t>
            </w:r>
          </w:p>
        </w:tc>
        <w:tc>
          <w:tcPr>
            <w:tcW w:w="5596" w:type="dxa"/>
            <w:tcBorders>
              <w:top w:val="nil"/>
              <w:left w:val="nil"/>
              <w:bottom w:val="nil"/>
              <w:right w:val="nil"/>
            </w:tcBorders>
            <w:vAlign w:val="center"/>
            <w:hideMark/>
          </w:tcPr>
          <w:p w14:paraId="44B4B59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13: Oznaczanie odporności chemicznej</w:t>
            </w:r>
          </w:p>
        </w:tc>
      </w:tr>
      <w:tr w:rsidR="000871D3" w:rsidRPr="000871D3" w14:paraId="2B0A2B9F" w14:textId="77777777" w:rsidTr="000871D3">
        <w:trPr>
          <w:trHeight w:val="300"/>
        </w:trPr>
        <w:tc>
          <w:tcPr>
            <w:tcW w:w="3476" w:type="dxa"/>
            <w:tcBorders>
              <w:top w:val="nil"/>
              <w:left w:val="nil"/>
              <w:bottom w:val="nil"/>
              <w:right w:val="nil"/>
            </w:tcBorders>
            <w:noWrap/>
            <w:vAlign w:val="center"/>
            <w:hideMark/>
          </w:tcPr>
          <w:p w14:paraId="7E87A1F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10545-14:2015-11</w:t>
            </w:r>
          </w:p>
        </w:tc>
        <w:tc>
          <w:tcPr>
            <w:tcW w:w="5596" w:type="dxa"/>
            <w:tcBorders>
              <w:top w:val="nil"/>
              <w:left w:val="nil"/>
              <w:bottom w:val="nil"/>
              <w:right w:val="nil"/>
            </w:tcBorders>
            <w:vAlign w:val="center"/>
            <w:hideMark/>
          </w:tcPr>
          <w:p w14:paraId="345E91B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14: Oznaczanie odporności na plamienie</w:t>
            </w:r>
          </w:p>
        </w:tc>
      </w:tr>
      <w:tr w:rsidR="000871D3" w:rsidRPr="000871D3" w14:paraId="4281D955" w14:textId="77777777" w:rsidTr="000871D3">
        <w:trPr>
          <w:trHeight w:val="300"/>
        </w:trPr>
        <w:tc>
          <w:tcPr>
            <w:tcW w:w="3476" w:type="dxa"/>
            <w:tcBorders>
              <w:top w:val="nil"/>
              <w:left w:val="nil"/>
              <w:bottom w:val="nil"/>
              <w:right w:val="nil"/>
            </w:tcBorders>
            <w:noWrap/>
            <w:vAlign w:val="center"/>
            <w:hideMark/>
          </w:tcPr>
          <w:p w14:paraId="4038476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10545-16:2012</w:t>
            </w:r>
          </w:p>
        </w:tc>
        <w:tc>
          <w:tcPr>
            <w:tcW w:w="5596" w:type="dxa"/>
            <w:tcBorders>
              <w:top w:val="nil"/>
              <w:left w:val="nil"/>
              <w:bottom w:val="nil"/>
              <w:right w:val="nil"/>
            </w:tcBorders>
            <w:vAlign w:val="center"/>
            <w:hideMark/>
          </w:tcPr>
          <w:p w14:paraId="4A192A8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16: Oznaczanie małych różnic barwy</w:t>
            </w:r>
          </w:p>
        </w:tc>
      </w:tr>
      <w:tr w:rsidR="000871D3" w:rsidRPr="000871D3" w14:paraId="50D7EF08" w14:textId="77777777" w:rsidTr="000871D3">
        <w:trPr>
          <w:trHeight w:val="300"/>
        </w:trPr>
        <w:tc>
          <w:tcPr>
            <w:tcW w:w="3476" w:type="dxa"/>
            <w:tcBorders>
              <w:top w:val="nil"/>
              <w:left w:val="nil"/>
              <w:bottom w:val="nil"/>
              <w:right w:val="nil"/>
            </w:tcBorders>
            <w:noWrap/>
            <w:vAlign w:val="center"/>
            <w:hideMark/>
          </w:tcPr>
          <w:p w14:paraId="0A7B6C9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10545-1:2014-12</w:t>
            </w:r>
          </w:p>
        </w:tc>
        <w:tc>
          <w:tcPr>
            <w:tcW w:w="5596" w:type="dxa"/>
            <w:tcBorders>
              <w:top w:val="nil"/>
              <w:left w:val="nil"/>
              <w:bottom w:val="nil"/>
              <w:right w:val="nil"/>
            </w:tcBorders>
            <w:vAlign w:val="center"/>
            <w:hideMark/>
          </w:tcPr>
          <w:p w14:paraId="3C02C1F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1: Pobieranie próbek i warunki odbioru</w:t>
            </w:r>
          </w:p>
        </w:tc>
      </w:tr>
      <w:tr w:rsidR="000871D3" w:rsidRPr="000871D3" w14:paraId="0894F13B" w14:textId="77777777" w:rsidTr="000871D3">
        <w:trPr>
          <w:trHeight w:val="600"/>
        </w:trPr>
        <w:tc>
          <w:tcPr>
            <w:tcW w:w="3476" w:type="dxa"/>
            <w:tcBorders>
              <w:top w:val="nil"/>
              <w:left w:val="nil"/>
              <w:bottom w:val="nil"/>
              <w:right w:val="nil"/>
            </w:tcBorders>
            <w:noWrap/>
            <w:vAlign w:val="center"/>
            <w:hideMark/>
          </w:tcPr>
          <w:p w14:paraId="06F9D8A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10545-2:2018-12</w:t>
            </w:r>
          </w:p>
        </w:tc>
        <w:tc>
          <w:tcPr>
            <w:tcW w:w="5596" w:type="dxa"/>
            <w:tcBorders>
              <w:top w:val="nil"/>
              <w:left w:val="nil"/>
              <w:bottom w:val="nil"/>
              <w:right w:val="nil"/>
            </w:tcBorders>
            <w:vAlign w:val="center"/>
            <w:hideMark/>
          </w:tcPr>
          <w:p w14:paraId="39F8605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2: Oznaczanie wymiarów i sprawdzanie jakości powierzchni</w:t>
            </w:r>
          </w:p>
        </w:tc>
      </w:tr>
      <w:tr w:rsidR="000871D3" w:rsidRPr="000871D3" w14:paraId="07DF88B9" w14:textId="77777777" w:rsidTr="000871D3">
        <w:trPr>
          <w:trHeight w:val="300"/>
        </w:trPr>
        <w:tc>
          <w:tcPr>
            <w:tcW w:w="3476" w:type="dxa"/>
            <w:tcBorders>
              <w:top w:val="nil"/>
              <w:left w:val="nil"/>
              <w:bottom w:val="nil"/>
              <w:right w:val="nil"/>
            </w:tcBorders>
            <w:noWrap/>
            <w:vAlign w:val="center"/>
            <w:hideMark/>
          </w:tcPr>
          <w:p w14:paraId="54F70F1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10545-9:2013-12</w:t>
            </w:r>
          </w:p>
        </w:tc>
        <w:tc>
          <w:tcPr>
            <w:tcW w:w="5596" w:type="dxa"/>
            <w:tcBorders>
              <w:top w:val="nil"/>
              <w:left w:val="nil"/>
              <w:bottom w:val="nil"/>
              <w:right w:val="nil"/>
            </w:tcBorders>
            <w:vAlign w:val="center"/>
            <w:hideMark/>
          </w:tcPr>
          <w:p w14:paraId="2509E69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i płyty ceramiczne - Część 9: Oznaczanie odporności na szok termiczny</w:t>
            </w:r>
          </w:p>
        </w:tc>
      </w:tr>
      <w:tr w:rsidR="000871D3" w:rsidRPr="000871D3" w14:paraId="05E75CC1" w14:textId="77777777" w:rsidTr="000871D3">
        <w:trPr>
          <w:trHeight w:val="600"/>
        </w:trPr>
        <w:tc>
          <w:tcPr>
            <w:tcW w:w="3476" w:type="dxa"/>
            <w:tcBorders>
              <w:top w:val="nil"/>
              <w:left w:val="nil"/>
              <w:bottom w:val="nil"/>
              <w:right w:val="nil"/>
            </w:tcBorders>
            <w:noWrap/>
            <w:vAlign w:val="center"/>
            <w:hideMark/>
          </w:tcPr>
          <w:p w14:paraId="258CC33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14411:2016-09</w:t>
            </w:r>
          </w:p>
        </w:tc>
        <w:tc>
          <w:tcPr>
            <w:tcW w:w="5596" w:type="dxa"/>
            <w:tcBorders>
              <w:top w:val="nil"/>
              <w:left w:val="nil"/>
              <w:bottom w:val="nil"/>
              <w:right w:val="nil"/>
            </w:tcBorders>
            <w:vAlign w:val="center"/>
            <w:hideMark/>
          </w:tcPr>
          <w:p w14:paraId="242A4D6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Płytki ceramiczne - Definicja, klasyfikacja, właściwości, ocena i weryfikacja stałości właściwości użytkowych i znakowanie</w:t>
            </w:r>
          </w:p>
        </w:tc>
      </w:tr>
      <w:tr w:rsidR="000871D3" w:rsidRPr="000871D3" w14:paraId="25CC79D1" w14:textId="77777777" w:rsidTr="000871D3">
        <w:trPr>
          <w:trHeight w:val="600"/>
        </w:trPr>
        <w:tc>
          <w:tcPr>
            <w:tcW w:w="3476" w:type="dxa"/>
            <w:tcBorders>
              <w:top w:val="nil"/>
              <w:left w:val="nil"/>
              <w:bottom w:val="nil"/>
              <w:right w:val="nil"/>
            </w:tcBorders>
            <w:noWrap/>
            <w:vAlign w:val="center"/>
            <w:hideMark/>
          </w:tcPr>
          <w:p w14:paraId="17DE1BC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lastRenderedPageBreak/>
              <w:t>PN-EN 12004-1:2017-03</w:t>
            </w:r>
          </w:p>
        </w:tc>
        <w:tc>
          <w:tcPr>
            <w:tcW w:w="5596" w:type="dxa"/>
            <w:tcBorders>
              <w:top w:val="nil"/>
              <w:left w:val="nil"/>
              <w:bottom w:val="nil"/>
              <w:right w:val="nil"/>
            </w:tcBorders>
            <w:vAlign w:val="center"/>
            <w:hideMark/>
          </w:tcPr>
          <w:p w14:paraId="3EDC559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Kleje do płytek ceramicznych - Część 1: Wymagania, ocena i weryfikacja stałości właściwości użytkowych, klasyfikacja i znakowanie</w:t>
            </w:r>
          </w:p>
        </w:tc>
      </w:tr>
      <w:tr w:rsidR="000871D3" w:rsidRPr="000871D3" w14:paraId="545A0797" w14:textId="77777777" w:rsidTr="000871D3">
        <w:trPr>
          <w:trHeight w:val="300"/>
        </w:trPr>
        <w:tc>
          <w:tcPr>
            <w:tcW w:w="3476" w:type="dxa"/>
            <w:tcBorders>
              <w:top w:val="nil"/>
              <w:left w:val="nil"/>
              <w:bottom w:val="nil"/>
              <w:right w:val="nil"/>
            </w:tcBorders>
            <w:noWrap/>
            <w:vAlign w:val="center"/>
            <w:hideMark/>
          </w:tcPr>
          <w:p w14:paraId="306A195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12004-2:2017-03</w:t>
            </w:r>
          </w:p>
        </w:tc>
        <w:tc>
          <w:tcPr>
            <w:tcW w:w="5596" w:type="dxa"/>
            <w:tcBorders>
              <w:top w:val="nil"/>
              <w:left w:val="nil"/>
              <w:bottom w:val="nil"/>
              <w:right w:val="nil"/>
            </w:tcBorders>
            <w:vAlign w:val="center"/>
            <w:hideMark/>
          </w:tcPr>
          <w:p w14:paraId="715B3DA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Kleje do płytek ceramicznych - Część 2: Metody badań</w:t>
            </w:r>
          </w:p>
        </w:tc>
      </w:tr>
      <w:tr w:rsidR="000871D3" w:rsidRPr="000871D3" w14:paraId="05E52E81" w14:textId="77777777" w:rsidTr="000871D3">
        <w:trPr>
          <w:trHeight w:val="300"/>
        </w:trPr>
        <w:tc>
          <w:tcPr>
            <w:tcW w:w="3476" w:type="dxa"/>
            <w:tcBorders>
              <w:top w:val="nil"/>
              <w:left w:val="nil"/>
              <w:bottom w:val="nil"/>
              <w:right w:val="nil"/>
            </w:tcBorders>
            <w:noWrap/>
            <w:vAlign w:val="center"/>
            <w:hideMark/>
          </w:tcPr>
          <w:p w14:paraId="1CE1FB8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13226:2009</w:t>
            </w:r>
          </w:p>
        </w:tc>
        <w:tc>
          <w:tcPr>
            <w:tcW w:w="5596" w:type="dxa"/>
            <w:tcBorders>
              <w:top w:val="nil"/>
              <w:left w:val="nil"/>
              <w:bottom w:val="nil"/>
              <w:right w:val="nil"/>
            </w:tcBorders>
            <w:vAlign w:val="center"/>
            <w:hideMark/>
          </w:tcPr>
          <w:p w14:paraId="247A60E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Elementy posadzkowe lite z wpustami i/lub wypustami</w:t>
            </w:r>
          </w:p>
        </w:tc>
      </w:tr>
      <w:tr w:rsidR="000871D3" w:rsidRPr="000871D3" w14:paraId="31726785" w14:textId="77777777" w:rsidTr="000871D3">
        <w:trPr>
          <w:trHeight w:val="300"/>
        </w:trPr>
        <w:tc>
          <w:tcPr>
            <w:tcW w:w="3476" w:type="dxa"/>
            <w:tcBorders>
              <w:top w:val="nil"/>
              <w:left w:val="nil"/>
              <w:bottom w:val="nil"/>
              <w:right w:val="nil"/>
            </w:tcBorders>
            <w:noWrap/>
            <w:vAlign w:val="center"/>
            <w:hideMark/>
          </w:tcPr>
          <w:p w14:paraId="4435CC8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13227:2018-02</w:t>
            </w:r>
          </w:p>
        </w:tc>
        <w:tc>
          <w:tcPr>
            <w:tcW w:w="5596" w:type="dxa"/>
            <w:tcBorders>
              <w:top w:val="nil"/>
              <w:left w:val="nil"/>
              <w:bottom w:val="nil"/>
              <w:right w:val="nil"/>
            </w:tcBorders>
            <w:vAlign w:val="center"/>
            <w:hideMark/>
          </w:tcPr>
          <w:p w14:paraId="5EF328D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Podłogi drewniane - </w:t>
            </w:r>
            <w:proofErr w:type="spellStart"/>
            <w:r w:rsidRPr="000871D3">
              <w:rPr>
                <w:rFonts w:eastAsia="Times New Roman" w:cs="Calibri"/>
                <w:color w:val="000000"/>
                <w:lang w:eastAsia="pl-PL"/>
              </w:rPr>
              <w:t>Lamparkiet</w:t>
            </w:r>
            <w:proofErr w:type="spellEnd"/>
          </w:p>
        </w:tc>
      </w:tr>
      <w:tr w:rsidR="000871D3" w:rsidRPr="000871D3" w14:paraId="648674DD" w14:textId="77777777" w:rsidTr="000871D3">
        <w:trPr>
          <w:trHeight w:val="600"/>
        </w:trPr>
        <w:tc>
          <w:tcPr>
            <w:tcW w:w="3476" w:type="dxa"/>
            <w:tcBorders>
              <w:top w:val="nil"/>
              <w:left w:val="nil"/>
              <w:bottom w:val="nil"/>
              <w:right w:val="nil"/>
            </w:tcBorders>
            <w:noWrap/>
            <w:vAlign w:val="center"/>
            <w:hideMark/>
          </w:tcPr>
          <w:p w14:paraId="0CFA21A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13228:2011</w:t>
            </w:r>
          </w:p>
        </w:tc>
        <w:tc>
          <w:tcPr>
            <w:tcW w:w="5596" w:type="dxa"/>
            <w:tcBorders>
              <w:top w:val="nil"/>
              <w:left w:val="nil"/>
              <w:bottom w:val="nil"/>
              <w:right w:val="nil"/>
            </w:tcBorders>
            <w:vAlign w:val="center"/>
            <w:hideMark/>
          </w:tcPr>
          <w:p w14:paraId="72E8B57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Elementy posadzek z drewna litego oraz posadzek łączonych z deszczułek</w:t>
            </w:r>
          </w:p>
        </w:tc>
      </w:tr>
      <w:tr w:rsidR="000871D3" w:rsidRPr="000871D3" w14:paraId="4C8BF2D2" w14:textId="77777777" w:rsidTr="000871D3">
        <w:trPr>
          <w:trHeight w:val="600"/>
        </w:trPr>
        <w:tc>
          <w:tcPr>
            <w:tcW w:w="3476" w:type="dxa"/>
            <w:tcBorders>
              <w:top w:val="nil"/>
              <w:left w:val="nil"/>
              <w:bottom w:val="nil"/>
              <w:right w:val="nil"/>
            </w:tcBorders>
            <w:noWrap/>
            <w:vAlign w:val="center"/>
            <w:hideMark/>
          </w:tcPr>
          <w:p w14:paraId="153E2C0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13442:2013-07</w:t>
            </w:r>
          </w:p>
        </w:tc>
        <w:tc>
          <w:tcPr>
            <w:tcW w:w="5596" w:type="dxa"/>
            <w:tcBorders>
              <w:top w:val="nil"/>
              <w:left w:val="nil"/>
              <w:bottom w:val="nil"/>
              <w:right w:val="nil"/>
            </w:tcBorders>
            <w:vAlign w:val="center"/>
            <w:hideMark/>
          </w:tcPr>
          <w:p w14:paraId="0D2B2DE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oraz boazerie i okładziny z drewna - Oznaczanie odporności na czynniki chemiczne</w:t>
            </w:r>
          </w:p>
        </w:tc>
      </w:tr>
      <w:tr w:rsidR="000871D3" w:rsidRPr="000871D3" w14:paraId="56F2E6CB" w14:textId="77777777" w:rsidTr="000871D3">
        <w:trPr>
          <w:trHeight w:val="300"/>
        </w:trPr>
        <w:tc>
          <w:tcPr>
            <w:tcW w:w="3476" w:type="dxa"/>
            <w:tcBorders>
              <w:top w:val="nil"/>
              <w:left w:val="nil"/>
              <w:bottom w:val="nil"/>
              <w:right w:val="nil"/>
            </w:tcBorders>
            <w:noWrap/>
            <w:vAlign w:val="center"/>
            <w:hideMark/>
          </w:tcPr>
          <w:p w14:paraId="2FEF333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13488:2004</w:t>
            </w:r>
          </w:p>
        </w:tc>
        <w:tc>
          <w:tcPr>
            <w:tcW w:w="5596" w:type="dxa"/>
            <w:tcBorders>
              <w:top w:val="nil"/>
              <w:left w:val="nil"/>
              <w:bottom w:val="nil"/>
              <w:right w:val="nil"/>
            </w:tcBorders>
            <w:vAlign w:val="center"/>
            <w:hideMark/>
          </w:tcPr>
          <w:p w14:paraId="068C7F0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Elementy posadzki mozaikowej</w:t>
            </w:r>
          </w:p>
        </w:tc>
      </w:tr>
      <w:tr w:rsidR="000871D3" w:rsidRPr="000871D3" w14:paraId="05E3C1B1" w14:textId="77777777" w:rsidTr="000871D3">
        <w:trPr>
          <w:trHeight w:val="600"/>
        </w:trPr>
        <w:tc>
          <w:tcPr>
            <w:tcW w:w="3476" w:type="dxa"/>
            <w:tcBorders>
              <w:top w:val="nil"/>
              <w:left w:val="nil"/>
              <w:bottom w:val="nil"/>
              <w:right w:val="nil"/>
            </w:tcBorders>
            <w:noWrap/>
            <w:vAlign w:val="center"/>
            <w:hideMark/>
          </w:tcPr>
          <w:p w14:paraId="3F8CE81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13629:2020-08</w:t>
            </w:r>
          </w:p>
        </w:tc>
        <w:tc>
          <w:tcPr>
            <w:tcW w:w="5596" w:type="dxa"/>
            <w:tcBorders>
              <w:top w:val="nil"/>
              <w:left w:val="nil"/>
              <w:bottom w:val="nil"/>
              <w:right w:val="nil"/>
            </w:tcBorders>
            <w:vAlign w:val="center"/>
            <w:hideMark/>
          </w:tcPr>
          <w:p w14:paraId="1BB18FB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Deski pojedyncze lite oraz deski łączone z litych elementów z drewna liściastego</w:t>
            </w:r>
          </w:p>
        </w:tc>
      </w:tr>
      <w:tr w:rsidR="000871D3" w:rsidRPr="000871D3" w14:paraId="01859B3E" w14:textId="77777777" w:rsidTr="000871D3">
        <w:trPr>
          <w:trHeight w:val="600"/>
        </w:trPr>
        <w:tc>
          <w:tcPr>
            <w:tcW w:w="3476" w:type="dxa"/>
            <w:tcBorders>
              <w:top w:val="nil"/>
              <w:left w:val="nil"/>
              <w:bottom w:val="nil"/>
              <w:right w:val="nil"/>
            </w:tcBorders>
            <w:noWrap/>
            <w:vAlign w:val="center"/>
            <w:hideMark/>
          </w:tcPr>
          <w:p w14:paraId="0D8A651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13647:2021-09</w:t>
            </w:r>
          </w:p>
        </w:tc>
        <w:tc>
          <w:tcPr>
            <w:tcW w:w="5596" w:type="dxa"/>
            <w:tcBorders>
              <w:top w:val="nil"/>
              <w:left w:val="nil"/>
              <w:bottom w:val="nil"/>
              <w:right w:val="nil"/>
            </w:tcBorders>
            <w:vAlign w:val="center"/>
            <w:hideMark/>
          </w:tcPr>
          <w:p w14:paraId="1154E94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i posadzki deszczułkowe oraz boazerie i okładziny z drewna - Oznaczanie charakterystyki geometrycznej</w:t>
            </w:r>
          </w:p>
        </w:tc>
      </w:tr>
      <w:tr w:rsidR="000871D3" w:rsidRPr="000871D3" w14:paraId="04B665E8" w14:textId="77777777" w:rsidTr="000871D3">
        <w:trPr>
          <w:trHeight w:val="600"/>
        </w:trPr>
        <w:tc>
          <w:tcPr>
            <w:tcW w:w="3476" w:type="dxa"/>
            <w:tcBorders>
              <w:top w:val="nil"/>
              <w:left w:val="nil"/>
              <w:bottom w:val="nil"/>
              <w:right w:val="nil"/>
            </w:tcBorders>
            <w:noWrap/>
            <w:vAlign w:val="center"/>
            <w:hideMark/>
          </w:tcPr>
          <w:p w14:paraId="7DA13C3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13696:2009</w:t>
            </w:r>
          </w:p>
        </w:tc>
        <w:tc>
          <w:tcPr>
            <w:tcW w:w="5596" w:type="dxa"/>
            <w:tcBorders>
              <w:top w:val="nil"/>
              <w:left w:val="nil"/>
              <w:bottom w:val="nil"/>
              <w:right w:val="nil"/>
            </w:tcBorders>
            <w:vAlign w:val="center"/>
            <w:hideMark/>
          </w:tcPr>
          <w:p w14:paraId="2D8FE7A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Metody badań oznaczania elastyczności i odporności na ścieranie oraz udarności</w:t>
            </w:r>
          </w:p>
        </w:tc>
      </w:tr>
      <w:tr w:rsidR="000871D3" w:rsidRPr="000871D3" w14:paraId="18A9F231" w14:textId="77777777" w:rsidTr="000871D3">
        <w:trPr>
          <w:trHeight w:val="300"/>
        </w:trPr>
        <w:tc>
          <w:tcPr>
            <w:tcW w:w="3476" w:type="dxa"/>
            <w:tcBorders>
              <w:top w:val="nil"/>
              <w:left w:val="nil"/>
              <w:bottom w:val="nil"/>
              <w:right w:val="nil"/>
            </w:tcBorders>
            <w:noWrap/>
            <w:vAlign w:val="center"/>
            <w:hideMark/>
          </w:tcPr>
          <w:p w14:paraId="64703B4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13990:2005</w:t>
            </w:r>
          </w:p>
        </w:tc>
        <w:tc>
          <w:tcPr>
            <w:tcW w:w="5596" w:type="dxa"/>
            <w:tcBorders>
              <w:top w:val="nil"/>
              <w:left w:val="nil"/>
              <w:bottom w:val="nil"/>
              <w:right w:val="nil"/>
            </w:tcBorders>
            <w:vAlign w:val="center"/>
            <w:hideMark/>
          </w:tcPr>
          <w:p w14:paraId="409E6C3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Deski podłogowe lite z drewna iglastego</w:t>
            </w:r>
          </w:p>
        </w:tc>
      </w:tr>
      <w:tr w:rsidR="000871D3" w:rsidRPr="000871D3" w14:paraId="07A6B680" w14:textId="77777777" w:rsidTr="000871D3">
        <w:trPr>
          <w:trHeight w:val="300"/>
        </w:trPr>
        <w:tc>
          <w:tcPr>
            <w:tcW w:w="3476" w:type="dxa"/>
            <w:tcBorders>
              <w:top w:val="nil"/>
              <w:left w:val="nil"/>
              <w:bottom w:val="nil"/>
              <w:right w:val="nil"/>
            </w:tcBorders>
            <w:noWrap/>
            <w:vAlign w:val="center"/>
            <w:hideMark/>
          </w:tcPr>
          <w:p w14:paraId="4ABCF97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14342:2013-11</w:t>
            </w:r>
          </w:p>
        </w:tc>
        <w:tc>
          <w:tcPr>
            <w:tcW w:w="5596" w:type="dxa"/>
            <w:tcBorders>
              <w:top w:val="nil"/>
              <w:left w:val="nil"/>
              <w:bottom w:val="nil"/>
              <w:right w:val="nil"/>
            </w:tcBorders>
            <w:vAlign w:val="center"/>
            <w:hideMark/>
          </w:tcPr>
          <w:p w14:paraId="4EBB6F3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Właściwości, ocena zgodności i oznakowanie</w:t>
            </w:r>
          </w:p>
        </w:tc>
      </w:tr>
      <w:tr w:rsidR="000871D3" w:rsidRPr="000871D3" w14:paraId="660BCE7E" w14:textId="77777777" w:rsidTr="000871D3">
        <w:trPr>
          <w:trHeight w:val="600"/>
        </w:trPr>
        <w:tc>
          <w:tcPr>
            <w:tcW w:w="3476" w:type="dxa"/>
            <w:tcBorders>
              <w:top w:val="nil"/>
              <w:left w:val="nil"/>
              <w:bottom w:val="nil"/>
              <w:right w:val="nil"/>
            </w:tcBorders>
            <w:noWrap/>
            <w:vAlign w:val="center"/>
            <w:hideMark/>
          </w:tcPr>
          <w:p w14:paraId="21B4095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14761+A1:2009</w:t>
            </w:r>
          </w:p>
        </w:tc>
        <w:tc>
          <w:tcPr>
            <w:tcW w:w="5596" w:type="dxa"/>
            <w:tcBorders>
              <w:top w:val="nil"/>
              <w:left w:val="nil"/>
              <w:bottom w:val="nil"/>
              <w:right w:val="nil"/>
            </w:tcBorders>
            <w:vAlign w:val="center"/>
            <w:hideMark/>
          </w:tcPr>
          <w:p w14:paraId="12D73B5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Parkiet z drewna litego - Listewki do układania wąskimi i szerokimi płaszczyznami do podłoża oraz kostka brukowa</w:t>
            </w:r>
          </w:p>
        </w:tc>
      </w:tr>
      <w:tr w:rsidR="000871D3" w:rsidRPr="000871D3" w14:paraId="10D632C2" w14:textId="77777777" w:rsidTr="000871D3">
        <w:trPr>
          <w:trHeight w:val="300"/>
        </w:trPr>
        <w:tc>
          <w:tcPr>
            <w:tcW w:w="3476" w:type="dxa"/>
            <w:tcBorders>
              <w:top w:val="nil"/>
              <w:left w:val="nil"/>
              <w:bottom w:val="nil"/>
              <w:right w:val="nil"/>
            </w:tcBorders>
            <w:noWrap/>
            <w:vAlign w:val="center"/>
            <w:hideMark/>
          </w:tcPr>
          <w:p w14:paraId="6DFDB4D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14762:2007</w:t>
            </w:r>
          </w:p>
        </w:tc>
        <w:tc>
          <w:tcPr>
            <w:tcW w:w="5596" w:type="dxa"/>
            <w:tcBorders>
              <w:top w:val="nil"/>
              <w:left w:val="nil"/>
              <w:bottom w:val="nil"/>
              <w:right w:val="nil"/>
            </w:tcBorders>
            <w:vAlign w:val="center"/>
            <w:hideMark/>
          </w:tcPr>
          <w:p w14:paraId="390F08E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Procedury pobierania próbek do oceny zgodności</w:t>
            </w:r>
          </w:p>
        </w:tc>
      </w:tr>
      <w:tr w:rsidR="000871D3" w:rsidRPr="000871D3" w14:paraId="297FE562" w14:textId="77777777" w:rsidTr="000871D3">
        <w:trPr>
          <w:trHeight w:val="600"/>
        </w:trPr>
        <w:tc>
          <w:tcPr>
            <w:tcW w:w="3476" w:type="dxa"/>
            <w:tcBorders>
              <w:top w:val="nil"/>
              <w:left w:val="nil"/>
              <w:bottom w:val="nil"/>
              <w:right w:val="nil"/>
            </w:tcBorders>
            <w:noWrap/>
            <w:vAlign w:val="center"/>
            <w:hideMark/>
          </w:tcPr>
          <w:p w14:paraId="0465FAF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1533:2011</w:t>
            </w:r>
          </w:p>
        </w:tc>
        <w:tc>
          <w:tcPr>
            <w:tcW w:w="5596" w:type="dxa"/>
            <w:tcBorders>
              <w:top w:val="nil"/>
              <w:left w:val="nil"/>
              <w:bottom w:val="nil"/>
              <w:right w:val="nil"/>
            </w:tcBorders>
            <w:vAlign w:val="center"/>
            <w:hideMark/>
          </w:tcPr>
          <w:p w14:paraId="5759C24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 Oznaczanie wytrzymałości na zginanie pod obciążeniem statycznym - Metoda badania</w:t>
            </w:r>
          </w:p>
        </w:tc>
      </w:tr>
      <w:tr w:rsidR="000871D3" w:rsidRPr="000871D3" w14:paraId="6A82B524" w14:textId="77777777" w:rsidTr="000871D3">
        <w:trPr>
          <w:trHeight w:val="600"/>
        </w:trPr>
        <w:tc>
          <w:tcPr>
            <w:tcW w:w="3476" w:type="dxa"/>
            <w:tcBorders>
              <w:top w:val="nil"/>
              <w:left w:val="nil"/>
              <w:bottom w:val="nil"/>
              <w:right w:val="nil"/>
            </w:tcBorders>
            <w:noWrap/>
            <w:vAlign w:val="center"/>
            <w:hideMark/>
          </w:tcPr>
          <w:p w14:paraId="2A8F992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1534:2020-06</w:t>
            </w:r>
          </w:p>
        </w:tc>
        <w:tc>
          <w:tcPr>
            <w:tcW w:w="5596" w:type="dxa"/>
            <w:tcBorders>
              <w:top w:val="nil"/>
              <w:left w:val="nil"/>
              <w:bottom w:val="nil"/>
              <w:right w:val="nil"/>
            </w:tcBorders>
            <w:vAlign w:val="center"/>
            <w:hideMark/>
          </w:tcPr>
          <w:p w14:paraId="61F40C2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i parkiet - Oznaczanie odporności na wgniecenie - Metoda badania</w:t>
            </w:r>
          </w:p>
        </w:tc>
      </w:tr>
      <w:tr w:rsidR="000871D3" w:rsidRPr="000871D3" w14:paraId="29C88129" w14:textId="77777777" w:rsidTr="000871D3">
        <w:trPr>
          <w:trHeight w:val="300"/>
        </w:trPr>
        <w:tc>
          <w:tcPr>
            <w:tcW w:w="3476" w:type="dxa"/>
            <w:tcBorders>
              <w:top w:val="nil"/>
              <w:left w:val="nil"/>
              <w:bottom w:val="nil"/>
              <w:right w:val="nil"/>
            </w:tcBorders>
            <w:noWrap/>
            <w:vAlign w:val="center"/>
            <w:hideMark/>
          </w:tcPr>
          <w:p w14:paraId="336C0DC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16929:2019-01</w:t>
            </w:r>
          </w:p>
        </w:tc>
        <w:tc>
          <w:tcPr>
            <w:tcW w:w="5596" w:type="dxa"/>
            <w:tcBorders>
              <w:top w:val="nil"/>
              <w:left w:val="nil"/>
              <w:bottom w:val="nil"/>
              <w:right w:val="nil"/>
            </w:tcBorders>
            <w:vAlign w:val="center"/>
            <w:hideMark/>
          </w:tcPr>
          <w:p w14:paraId="5359741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Metody badań - Podłogi drewniane - Oznaczenie charakterystyki drgań</w:t>
            </w:r>
          </w:p>
        </w:tc>
      </w:tr>
      <w:tr w:rsidR="000871D3" w:rsidRPr="000871D3" w14:paraId="36E8CF41" w14:textId="77777777" w:rsidTr="000871D3">
        <w:trPr>
          <w:trHeight w:val="600"/>
        </w:trPr>
        <w:tc>
          <w:tcPr>
            <w:tcW w:w="3476" w:type="dxa"/>
            <w:tcBorders>
              <w:top w:val="nil"/>
              <w:left w:val="nil"/>
              <w:bottom w:val="nil"/>
              <w:right w:val="nil"/>
            </w:tcBorders>
            <w:noWrap/>
            <w:vAlign w:val="center"/>
            <w:hideMark/>
          </w:tcPr>
          <w:p w14:paraId="0C0FC8B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17456:2021-09</w:t>
            </w:r>
          </w:p>
        </w:tc>
        <w:tc>
          <w:tcPr>
            <w:tcW w:w="5596" w:type="dxa"/>
            <w:tcBorders>
              <w:top w:val="nil"/>
              <w:left w:val="nil"/>
              <w:bottom w:val="nil"/>
              <w:right w:val="nil"/>
            </w:tcBorders>
            <w:vAlign w:val="center"/>
            <w:hideMark/>
          </w:tcPr>
          <w:p w14:paraId="54936DD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i parkiet - Oznaczanie rozwarstwienia wierzchniej i spodniej warstwy elementów wielowarstwowych - Metoda badania</w:t>
            </w:r>
          </w:p>
        </w:tc>
      </w:tr>
      <w:tr w:rsidR="000871D3" w:rsidRPr="000871D3" w14:paraId="6DBA0FD0" w14:textId="77777777" w:rsidTr="000871D3">
        <w:trPr>
          <w:trHeight w:val="600"/>
        </w:trPr>
        <w:tc>
          <w:tcPr>
            <w:tcW w:w="3476" w:type="dxa"/>
            <w:tcBorders>
              <w:top w:val="nil"/>
              <w:left w:val="nil"/>
              <w:bottom w:val="nil"/>
              <w:right w:val="nil"/>
            </w:tcBorders>
            <w:noWrap/>
            <w:vAlign w:val="center"/>
            <w:hideMark/>
          </w:tcPr>
          <w:p w14:paraId="1C63D2C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1910:2016-07</w:t>
            </w:r>
          </w:p>
        </w:tc>
        <w:tc>
          <w:tcPr>
            <w:tcW w:w="5596" w:type="dxa"/>
            <w:tcBorders>
              <w:top w:val="nil"/>
              <w:left w:val="nil"/>
              <w:bottom w:val="nil"/>
              <w:right w:val="nil"/>
            </w:tcBorders>
            <w:vAlign w:val="center"/>
            <w:hideMark/>
          </w:tcPr>
          <w:p w14:paraId="3C99A77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Podłogi drewniane oraz boazerie i okładziny z drewna - Oznaczanie stabilności wymiarowej</w:t>
            </w:r>
          </w:p>
        </w:tc>
      </w:tr>
      <w:tr w:rsidR="000871D3" w:rsidRPr="000871D3" w14:paraId="619D74E1" w14:textId="77777777" w:rsidTr="000871D3">
        <w:trPr>
          <w:trHeight w:val="300"/>
        </w:trPr>
        <w:tc>
          <w:tcPr>
            <w:tcW w:w="3476" w:type="dxa"/>
            <w:tcBorders>
              <w:top w:val="nil"/>
              <w:left w:val="nil"/>
              <w:bottom w:val="nil"/>
              <w:right w:val="nil"/>
            </w:tcBorders>
            <w:noWrap/>
            <w:vAlign w:val="center"/>
            <w:hideMark/>
          </w:tcPr>
          <w:p w14:paraId="15FD966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10230-1:2003</w:t>
            </w:r>
          </w:p>
        </w:tc>
        <w:tc>
          <w:tcPr>
            <w:tcW w:w="5596" w:type="dxa"/>
            <w:tcBorders>
              <w:top w:val="nil"/>
              <w:left w:val="nil"/>
              <w:bottom w:val="nil"/>
              <w:right w:val="nil"/>
            </w:tcBorders>
            <w:vAlign w:val="center"/>
            <w:hideMark/>
          </w:tcPr>
          <w:p w14:paraId="3C7EA56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Gwoździe z drutu stalowego - Część 1: Gwoździe ogólnego przeznaczenia</w:t>
            </w:r>
          </w:p>
        </w:tc>
      </w:tr>
      <w:tr w:rsidR="000871D3" w:rsidRPr="000871D3" w14:paraId="00DB724F" w14:textId="77777777" w:rsidTr="000871D3">
        <w:trPr>
          <w:trHeight w:val="300"/>
        </w:trPr>
        <w:tc>
          <w:tcPr>
            <w:tcW w:w="3476" w:type="dxa"/>
            <w:tcBorders>
              <w:top w:val="nil"/>
              <w:left w:val="nil"/>
              <w:bottom w:val="nil"/>
              <w:right w:val="nil"/>
            </w:tcBorders>
            <w:noWrap/>
            <w:vAlign w:val="center"/>
            <w:hideMark/>
          </w:tcPr>
          <w:p w14:paraId="7099C89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15482:2002</w:t>
            </w:r>
          </w:p>
        </w:tc>
        <w:tc>
          <w:tcPr>
            <w:tcW w:w="5596" w:type="dxa"/>
            <w:tcBorders>
              <w:top w:val="nil"/>
              <w:left w:val="nil"/>
              <w:bottom w:val="nil"/>
              <w:right w:val="nil"/>
            </w:tcBorders>
            <w:vAlign w:val="center"/>
            <w:hideMark/>
          </w:tcPr>
          <w:p w14:paraId="56B1DF9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Wkręty wiercące samogwintujące z łbem stożkowym z wgłębieniem krzyżowym</w:t>
            </w:r>
          </w:p>
        </w:tc>
      </w:tr>
      <w:tr w:rsidR="000871D3" w:rsidRPr="000871D3" w14:paraId="51102CDF" w14:textId="77777777" w:rsidTr="000871D3">
        <w:trPr>
          <w:trHeight w:val="600"/>
        </w:trPr>
        <w:tc>
          <w:tcPr>
            <w:tcW w:w="3476" w:type="dxa"/>
            <w:tcBorders>
              <w:top w:val="nil"/>
              <w:left w:val="nil"/>
              <w:bottom w:val="nil"/>
              <w:right w:val="nil"/>
            </w:tcBorders>
            <w:noWrap/>
            <w:vAlign w:val="center"/>
            <w:hideMark/>
          </w:tcPr>
          <w:p w14:paraId="7DBCFAF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1313-1:2010</w:t>
            </w:r>
          </w:p>
        </w:tc>
        <w:tc>
          <w:tcPr>
            <w:tcW w:w="5596" w:type="dxa"/>
            <w:tcBorders>
              <w:top w:val="nil"/>
              <w:left w:val="nil"/>
              <w:bottom w:val="nil"/>
              <w:right w:val="nil"/>
            </w:tcBorders>
            <w:vAlign w:val="center"/>
            <w:hideMark/>
          </w:tcPr>
          <w:p w14:paraId="55F5C84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Drewno okrągłe i tarcica - Dopuszczalne odchyłki i zalecane wymiary - Część 1: Tarcica iglasta</w:t>
            </w:r>
          </w:p>
        </w:tc>
      </w:tr>
      <w:tr w:rsidR="000871D3" w:rsidRPr="000871D3" w14:paraId="27BF66A8" w14:textId="77777777" w:rsidTr="000871D3">
        <w:trPr>
          <w:trHeight w:val="600"/>
        </w:trPr>
        <w:tc>
          <w:tcPr>
            <w:tcW w:w="3476" w:type="dxa"/>
            <w:tcBorders>
              <w:top w:val="nil"/>
              <w:left w:val="nil"/>
              <w:bottom w:val="nil"/>
              <w:right w:val="nil"/>
            </w:tcBorders>
            <w:noWrap/>
            <w:vAlign w:val="center"/>
            <w:hideMark/>
          </w:tcPr>
          <w:p w14:paraId="749636E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12369-1:2002</w:t>
            </w:r>
          </w:p>
        </w:tc>
        <w:tc>
          <w:tcPr>
            <w:tcW w:w="5596" w:type="dxa"/>
            <w:tcBorders>
              <w:top w:val="nil"/>
              <w:left w:val="nil"/>
              <w:bottom w:val="nil"/>
              <w:right w:val="nil"/>
            </w:tcBorders>
            <w:vAlign w:val="center"/>
            <w:hideMark/>
          </w:tcPr>
          <w:p w14:paraId="41C46E1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Płyty drewnopochodne - Wartości charakterystyczne do projektowania - Część 1: Płyty OSB, płyty wiórowe i płyty pilśniowe</w:t>
            </w:r>
          </w:p>
        </w:tc>
      </w:tr>
      <w:tr w:rsidR="000871D3" w:rsidRPr="000871D3" w14:paraId="786DA48B" w14:textId="77777777" w:rsidTr="000871D3">
        <w:trPr>
          <w:trHeight w:val="600"/>
        </w:trPr>
        <w:tc>
          <w:tcPr>
            <w:tcW w:w="3476" w:type="dxa"/>
            <w:tcBorders>
              <w:top w:val="nil"/>
              <w:left w:val="nil"/>
              <w:bottom w:val="nil"/>
              <w:right w:val="nil"/>
            </w:tcBorders>
            <w:noWrap/>
            <w:vAlign w:val="center"/>
            <w:hideMark/>
          </w:tcPr>
          <w:p w14:paraId="74D204C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205:2016-09</w:t>
            </w:r>
          </w:p>
        </w:tc>
        <w:tc>
          <w:tcPr>
            <w:tcW w:w="5596" w:type="dxa"/>
            <w:tcBorders>
              <w:top w:val="nil"/>
              <w:left w:val="nil"/>
              <w:bottom w:val="nil"/>
              <w:right w:val="nil"/>
            </w:tcBorders>
            <w:vAlign w:val="center"/>
            <w:hideMark/>
          </w:tcPr>
          <w:p w14:paraId="380D7C7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Kleje - Kleje do drewna przeznaczone do połączeń niekonstrukcyjnych - Oznaczanie wytrzymałości na ścinanie </w:t>
            </w:r>
            <w:r w:rsidRPr="000871D3">
              <w:rPr>
                <w:rFonts w:eastAsia="Times New Roman" w:cs="Calibri"/>
                <w:color w:val="000000"/>
                <w:lang w:eastAsia="pl-PL"/>
              </w:rPr>
              <w:lastRenderedPageBreak/>
              <w:t>przy rozciąganiu połączeń zakładkowych</w:t>
            </w:r>
          </w:p>
        </w:tc>
      </w:tr>
      <w:tr w:rsidR="000871D3" w:rsidRPr="000871D3" w14:paraId="4F2EEA83" w14:textId="77777777" w:rsidTr="000871D3">
        <w:trPr>
          <w:trHeight w:val="900"/>
        </w:trPr>
        <w:tc>
          <w:tcPr>
            <w:tcW w:w="3476" w:type="dxa"/>
            <w:tcBorders>
              <w:top w:val="nil"/>
              <w:left w:val="nil"/>
              <w:bottom w:val="nil"/>
              <w:right w:val="nil"/>
            </w:tcBorders>
            <w:noWrap/>
            <w:vAlign w:val="center"/>
            <w:hideMark/>
          </w:tcPr>
          <w:p w14:paraId="214E603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lastRenderedPageBreak/>
              <w:t>PN-EN ISO 22633:2020-01</w:t>
            </w:r>
          </w:p>
        </w:tc>
        <w:tc>
          <w:tcPr>
            <w:tcW w:w="5596" w:type="dxa"/>
            <w:tcBorders>
              <w:top w:val="nil"/>
              <w:left w:val="nil"/>
              <w:bottom w:val="nil"/>
              <w:right w:val="nil"/>
            </w:tcBorders>
            <w:vAlign w:val="center"/>
            <w:hideMark/>
          </w:tcPr>
          <w:p w14:paraId="56CE9B7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Kleje - Metody badań klejów do wykładzin podłogowych i okładzin ściennych - Oznaczanie zmiany wymiarów wykładzin podłogowych typu linoleum przy kontakcie z klejem</w:t>
            </w:r>
          </w:p>
        </w:tc>
      </w:tr>
      <w:tr w:rsidR="000871D3" w:rsidRPr="000871D3" w14:paraId="7C9E7D07" w14:textId="77777777" w:rsidTr="000871D3">
        <w:trPr>
          <w:trHeight w:val="900"/>
        </w:trPr>
        <w:tc>
          <w:tcPr>
            <w:tcW w:w="3476" w:type="dxa"/>
            <w:tcBorders>
              <w:top w:val="nil"/>
              <w:left w:val="nil"/>
              <w:bottom w:val="nil"/>
              <w:right w:val="nil"/>
            </w:tcBorders>
            <w:noWrap/>
            <w:vAlign w:val="center"/>
            <w:hideMark/>
          </w:tcPr>
          <w:p w14:paraId="55E78BF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13892-7:2004</w:t>
            </w:r>
          </w:p>
        </w:tc>
        <w:tc>
          <w:tcPr>
            <w:tcW w:w="5596" w:type="dxa"/>
            <w:tcBorders>
              <w:top w:val="nil"/>
              <w:left w:val="nil"/>
              <w:bottom w:val="nil"/>
              <w:right w:val="nil"/>
            </w:tcBorders>
            <w:vAlign w:val="center"/>
            <w:hideMark/>
          </w:tcPr>
          <w:p w14:paraId="2EF15D8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Metody badania materiałów na podkłady podłogowe - Część 7: Oznaczanie odporności na ścieranie materiałów podkładów podłogowych pokrytych wykładziną podłogową pod naciskiem toczącego się koła</w:t>
            </w:r>
          </w:p>
        </w:tc>
      </w:tr>
      <w:tr w:rsidR="000871D3" w:rsidRPr="000871D3" w14:paraId="71104F6E" w14:textId="77777777" w:rsidTr="000871D3">
        <w:trPr>
          <w:trHeight w:val="600"/>
        </w:trPr>
        <w:tc>
          <w:tcPr>
            <w:tcW w:w="3476" w:type="dxa"/>
            <w:tcBorders>
              <w:top w:val="nil"/>
              <w:left w:val="nil"/>
              <w:bottom w:val="nil"/>
              <w:right w:val="nil"/>
            </w:tcBorders>
            <w:noWrap/>
            <w:vAlign w:val="center"/>
            <w:hideMark/>
          </w:tcPr>
          <w:p w14:paraId="672F661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1902:2015-05</w:t>
            </w:r>
          </w:p>
        </w:tc>
        <w:tc>
          <w:tcPr>
            <w:tcW w:w="5596" w:type="dxa"/>
            <w:tcBorders>
              <w:top w:val="nil"/>
              <w:left w:val="nil"/>
              <w:bottom w:val="nil"/>
              <w:right w:val="nil"/>
            </w:tcBorders>
            <w:vAlign w:val="center"/>
            <w:hideMark/>
          </w:tcPr>
          <w:p w14:paraId="206C2D3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Kleje - Metoda badania klejów do wykładzin podłogowych i okładzin ściennych - Oznaczanie pełzania podczas ścinania</w:t>
            </w:r>
          </w:p>
        </w:tc>
      </w:tr>
      <w:tr w:rsidR="000871D3" w:rsidRPr="000871D3" w14:paraId="375E29FE" w14:textId="77777777" w:rsidTr="000871D3">
        <w:trPr>
          <w:trHeight w:val="300"/>
        </w:trPr>
        <w:tc>
          <w:tcPr>
            <w:tcW w:w="3476" w:type="dxa"/>
            <w:tcBorders>
              <w:top w:val="nil"/>
              <w:left w:val="nil"/>
              <w:bottom w:val="nil"/>
              <w:right w:val="nil"/>
            </w:tcBorders>
            <w:noWrap/>
            <w:vAlign w:val="center"/>
            <w:hideMark/>
          </w:tcPr>
          <w:p w14:paraId="19C419B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1815:2016-10</w:t>
            </w:r>
          </w:p>
        </w:tc>
        <w:tc>
          <w:tcPr>
            <w:tcW w:w="5596" w:type="dxa"/>
            <w:tcBorders>
              <w:top w:val="nil"/>
              <w:left w:val="nil"/>
              <w:bottom w:val="nil"/>
              <w:right w:val="nil"/>
            </w:tcBorders>
            <w:vAlign w:val="center"/>
            <w:hideMark/>
          </w:tcPr>
          <w:p w14:paraId="131C14F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i laminowane pokrycia podłogowe - Ocena skłonności do elektryzacji</w:t>
            </w:r>
          </w:p>
        </w:tc>
      </w:tr>
      <w:tr w:rsidR="000871D3" w:rsidRPr="000871D3" w14:paraId="278C8F04" w14:textId="77777777" w:rsidTr="000871D3">
        <w:trPr>
          <w:trHeight w:val="600"/>
        </w:trPr>
        <w:tc>
          <w:tcPr>
            <w:tcW w:w="3476" w:type="dxa"/>
            <w:tcBorders>
              <w:top w:val="nil"/>
              <w:left w:val="nil"/>
              <w:bottom w:val="nil"/>
              <w:right w:val="nil"/>
            </w:tcBorders>
            <w:noWrap/>
            <w:vAlign w:val="center"/>
            <w:hideMark/>
          </w:tcPr>
          <w:p w14:paraId="327DC75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16581:2019-07</w:t>
            </w:r>
          </w:p>
        </w:tc>
        <w:tc>
          <w:tcPr>
            <w:tcW w:w="5596" w:type="dxa"/>
            <w:tcBorders>
              <w:top w:val="nil"/>
              <w:left w:val="nil"/>
              <w:bottom w:val="nil"/>
              <w:right w:val="nil"/>
            </w:tcBorders>
            <w:vAlign w:val="center"/>
            <w:hideMark/>
          </w:tcPr>
          <w:p w14:paraId="1E546AA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i laminowane pokrycia podłogowe - Wyznaczanie skutku symulowanego ruchu nogi mebla</w:t>
            </w:r>
          </w:p>
        </w:tc>
      </w:tr>
      <w:tr w:rsidR="000871D3" w:rsidRPr="000871D3" w14:paraId="3918D095" w14:textId="77777777" w:rsidTr="000871D3">
        <w:trPr>
          <w:trHeight w:val="600"/>
        </w:trPr>
        <w:tc>
          <w:tcPr>
            <w:tcW w:w="3476" w:type="dxa"/>
            <w:tcBorders>
              <w:top w:val="nil"/>
              <w:left w:val="nil"/>
              <w:bottom w:val="nil"/>
              <w:right w:val="nil"/>
            </w:tcBorders>
            <w:noWrap/>
            <w:vAlign w:val="center"/>
            <w:hideMark/>
          </w:tcPr>
          <w:p w14:paraId="56575A1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24343-1:2012</w:t>
            </w:r>
          </w:p>
        </w:tc>
        <w:tc>
          <w:tcPr>
            <w:tcW w:w="5596" w:type="dxa"/>
            <w:tcBorders>
              <w:top w:val="nil"/>
              <w:left w:val="nil"/>
              <w:bottom w:val="nil"/>
              <w:right w:val="nil"/>
            </w:tcBorders>
            <w:vAlign w:val="center"/>
            <w:hideMark/>
          </w:tcPr>
          <w:p w14:paraId="702791F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i laminowane pokrycia podłogowe - Wyznaczanie wgniecenia i wgniecenia resztkowego - Część 1: Wgniecenie resztkowe</w:t>
            </w:r>
          </w:p>
        </w:tc>
      </w:tr>
      <w:tr w:rsidR="000871D3" w:rsidRPr="000871D3" w14:paraId="50CEF678" w14:textId="77777777" w:rsidTr="000871D3">
        <w:trPr>
          <w:trHeight w:val="600"/>
        </w:trPr>
        <w:tc>
          <w:tcPr>
            <w:tcW w:w="3476" w:type="dxa"/>
            <w:tcBorders>
              <w:top w:val="nil"/>
              <w:left w:val="nil"/>
              <w:bottom w:val="nil"/>
              <w:right w:val="nil"/>
            </w:tcBorders>
            <w:noWrap/>
            <w:vAlign w:val="center"/>
            <w:hideMark/>
          </w:tcPr>
          <w:p w14:paraId="0806C22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12199:2020-09</w:t>
            </w:r>
          </w:p>
        </w:tc>
        <w:tc>
          <w:tcPr>
            <w:tcW w:w="5596" w:type="dxa"/>
            <w:tcBorders>
              <w:top w:val="nil"/>
              <w:left w:val="nil"/>
              <w:bottom w:val="nil"/>
              <w:right w:val="nil"/>
            </w:tcBorders>
            <w:vAlign w:val="center"/>
            <w:hideMark/>
          </w:tcPr>
          <w:p w14:paraId="06539D8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Specyfikacje homogenicznych i heterogenicznych profilowanych gumowych pokryć podłogowych</w:t>
            </w:r>
          </w:p>
        </w:tc>
      </w:tr>
      <w:tr w:rsidR="000871D3" w:rsidRPr="000871D3" w14:paraId="2C0A965C" w14:textId="77777777" w:rsidTr="000871D3">
        <w:trPr>
          <w:trHeight w:val="300"/>
        </w:trPr>
        <w:tc>
          <w:tcPr>
            <w:tcW w:w="3476" w:type="dxa"/>
            <w:tcBorders>
              <w:top w:val="nil"/>
              <w:left w:val="nil"/>
              <w:bottom w:val="nil"/>
              <w:right w:val="nil"/>
            </w:tcBorders>
            <w:noWrap/>
            <w:vAlign w:val="center"/>
            <w:hideMark/>
          </w:tcPr>
          <w:p w14:paraId="2ED23CC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12466:2001</w:t>
            </w:r>
          </w:p>
        </w:tc>
        <w:tc>
          <w:tcPr>
            <w:tcW w:w="5596" w:type="dxa"/>
            <w:tcBorders>
              <w:top w:val="nil"/>
              <w:left w:val="nil"/>
              <w:bottom w:val="nil"/>
              <w:right w:val="nil"/>
            </w:tcBorders>
            <w:vAlign w:val="center"/>
            <w:hideMark/>
          </w:tcPr>
          <w:p w14:paraId="52734AD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Terminologia</w:t>
            </w:r>
          </w:p>
        </w:tc>
      </w:tr>
      <w:tr w:rsidR="000871D3" w:rsidRPr="000871D3" w14:paraId="121BC213" w14:textId="77777777" w:rsidTr="000871D3">
        <w:trPr>
          <w:trHeight w:val="600"/>
        </w:trPr>
        <w:tc>
          <w:tcPr>
            <w:tcW w:w="3476" w:type="dxa"/>
            <w:tcBorders>
              <w:top w:val="nil"/>
              <w:left w:val="nil"/>
              <w:bottom w:val="nil"/>
              <w:right w:val="nil"/>
            </w:tcBorders>
            <w:noWrap/>
            <w:vAlign w:val="center"/>
            <w:hideMark/>
          </w:tcPr>
          <w:p w14:paraId="2D371E1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13413:2004</w:t>
            </w:r>
          </w:p>
        </w:tc>
        <w:tc>
          <w:tcPr>
            <w:tcW w:w="5596" w:type="dxa"/>
            <w:tcBorders>
              <w:top w:val="nil"/>
              <w:left w:val="nil"/>
              <w:bottom w:val="nil"/>
              <w:right w:val="nil"/>
            </w:tcBorders>
            <w:vAlign w:val="center"/>
            <w:hideMark/>
          </w:tcPr>
          <w:p w14:paraId="368B1E7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Pokrycia podłogowe polichlorowinylowe na spodzie z materiału włóknistego - Wymagania</w:t>
            </w:r>
          </w:p>
        </w:tc>
      </w:tr>
      <w:tr w:rsidR="000871D3" w:rsidRPr="000871D3" w14:paraId="7395F9F5" w14:textId="77777777" w:rsidTr="000871D3">
        <w:trPr>
          <w:trHeight w:val="600"/>
        </w:trPr>
        <w:tc>
          <w:tcPr>
            <w:tcW w:w="3476" w:type="dxa"/>
            <w:tcBorders>
              <w:top w:val="nil"/>
              <w:left w:val="nil"/>
              <w:bottom w:val="nil"/>
              <w:right w:val="nil"/>
            </w:tcBorders>
            <w:noWrap/>
            <w:vAlign w:val="center"/>
            <w:hideMark/>
          </w:tcPr>
          <w:p w14:paraId="4DF1116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13553:2017-10</w:t>
            </w:r>
          </w:p>
        </w:tc>
        <w:tc>
          <w:tcPr>
            <w:tcW w:w="5596" w:type="dxa"/>
            <w:tcBorders>
              <w:top w:val="nil"/>
              <w:left w:val="nil"/>
              <w:bottom w:val="nil"/>
              <w:right w:val="nil"/>
            </w:tcBorders>
            <w:vAlign w:val="center"/>
            <w:hideMark/>
          </w:tcPr>
          <w:p w14:paraId="343515E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Pokrycia podłogowe polichlorowinylowe do użytku w szczególnie wilgotnych miejscach - Specyfikacja</w:t>
            </w:r>
          </w:p>
        </w:tc>
      </w:tr>
      <w:tr w:rsidR="000871D3" w:rsidRPr="000871D3" w14:paraId="0FD763ED" w14:textId="77777777" w:rsidTr="000871D3">
        <w:trPr>
          <w:trHeight w:val="600"/>
        </w:trPr>
        <w:tc>
          <w:tcPr>
            <w:tcW w:w="3476" w:type="dxa"/>
            <w:tcBorders>
              <w:top w:val="nil"/>
              <w:left w:val="nil"/>
              <w:bottom w:val="nil"/>
              <w:right w:val="nil"/>
            </w:tcBorders>
            <w:noWrap/>
            <w:vAlign w:val="center"/>
            <w:hideMark/>
          </w:tcPr>
          <w:p w14:paraId="5BA3314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13845:2017-10</w:t>
            </w:r>
          </w:p>
        </w:tc>
        <w:tc>
          <w:tcPr>
            <w:tcW w:w="5596" w:type="dxa"/>
            <w:tcBorders>
              <w:top w:val="nil"/>
              <w:left w:val="nil"/>
              <w:bottom w:val="nil"/>
              <w:right w:val="nil"/>
            </w:tcBorders>
            <w:vAlign w:val="center"/>
            <w:hideMark/>
          </w:tcPr>
          <w:p w14:paraId="1EA7363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Elastyczne pokrycia podłogowe - Pokrycia podłogowe z </w:t>
            </w:r>
            <w:proofErr w:type="spellStart"/>
            <w:r w:rsidRPr="000871D3">
              <w:rPr>
                <w:rFonts w:eastAsia="Times New Roman" w:cs="Calibri"/>
                <w:color w:val="000000"/>
                <w:lang w:eastAsia="pl-PL"/>
              </w:rPr>
              <w:t>poli</w:t>
            </w:r>
            <w:proofErr w:type="spellEnd"/>
            <w:r w:rsidRPr="000871D3">
              <w:rPr>
                <w:rFonts w:eastAsia="Times New Roman" w:cs="Calibri"/>
                <w:color w:val="000000"/>
                <w:lang w:eastAsia="pl-PL"/>
              </w:rPr>
              <w:t>(chlorku winylu) na bazie materiałów zwiększających odporność na poślizg - Specyfikacja</w:t>
            </w:r>
          </w:p>
        </w:tc>
      </w:tr>
      <w:tr w:rsidR="000871D3" w:rsidRPr="000871D3" w14:paraId="4AB36B14" w14:textId="77777777" w:rsidTr="000871D3">
        <w:trPr>
          <w:trHeight w:val="600"/>
        </w:trPr>
        <w:tc>
          <w:tcPr>
            <w:tcW w:w="3476" w:type="dxa"/>
            <w:tcBorders>
              <w:top w:val="nil"/>
              <w:left w:val="nil"/>
              <w:bottom w:val="nil"/>
              <w:right w:val="nil"/>
            </w:tcBorders>
            <w:noWrap/>
            <w:vAlign w:val="center"/>
            <w:hideMark/>
          </w:tcPr>
          <w:p w14:paraId="5521385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1399:2001</w:t>
            </w:r>
          </w:p>
        </w:tc>
        <w:tc>
          <w:tcPr>
            <w:tcW w:w="5596" w:type="dxa"/>
            <w:tcBorders>
              <w:top w:val="nil"/>
              <w:left w:val="nil"/>
              <w:bottom w:val="nil"/>
              <w:right w:val="nil"/>
            </w:tcBorders>
            <w:vAlign w:val="center"/>
            <w:hideMark/>
          </w:tcPr>
          <w:p w14:paraId="767A3E4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odporności na niedopałki papierosów i palące się papierosy</w:t>
            </w:r>
          </w:p>
        </w:tc>
      </w:tr>
      <w:tr w:rsidR="000871D3" w:rsidRPr="000871D3" w14:paraId="38666AD3" w14:textId="77777777" w:rsidTr="000871D3">
        <w:trPr>
          <w:trHeight w:val="600"/>
        </w:trPr>
        <w:tc>
          <w:tcPr>
            <w:tcW w:w="3476" w:type="dxa"/>
            <w:tcBorders>
              <w:top w:val="nil"/>
              <w:left w:val="nil"/>
              <w:bottom w:val="nil"/>
              <w:right w:val="nil"/>
            </w:tcBorders>
            <w:noWrap/>
            <w:vAlign w:val="center"/>
            <w:hideMark/>
          </w:tcPr>
          <w:p w14:paraId="601FB6E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14521:2006</w:t>
            </w:r>
          </w:p>
        </w:tc>
        <w:tc>
          <w:tcPr>
            <w:tcW w:w="5596" w:type="dxa"/>
            <w:tcBorders>
              <w:top w:val="nil"/>
              <w:left w:val="nil"/>
              <w:bottom w:val="nil"/>
              <w:right w:val="nil"/>
            </w:tcBorders>
            <w:vAlign w:val="center"/>
            <w:hideMark/>
          </w:tcPr>
          <w:p w14:paraId="3BB8B78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Specyfikacja elastomerowych pokryć podłogowych o równej powierzchni i warstwie wzorzystej ze spodem piankowym lub bez</w:t>
            </w:r>
          </w:p>
        </w:tc>
      </w:tr>
      <w:tr w:rsidR="000871D3" w:rsidRPr="000871D3" w14:paraId="1CE30B80" w14:textId="77777777" w:rsidTr="000871D3">
        <w:trPr>
          <w:trHeight w:val="600"/>
        </w:trPr>
        <w:tc>
          <w:tcPr>
            <w:tcW w:w="3476" w:type="dxa"/>
            <w:tcBorders>
              <w:top w:val="nil"/>
              <w:left w:val="nil"/>
              <w:bottom w:val="nil"/>
              <w:right w:val="nil"/>
            </w:tcBorders>
            <w:noWrap/>
            <w:vAlign w:val="center"/>
            <w:hideMark/>
          </w:tcPr>
          <w:p w14:paraId="4C1CE8E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14565:2019-12</w:t>
            </w:r>
          </w:p>
        </w:tc>
        <w:tc>
          <w:tcPr>
            <w:tcW w:w="5596" w:type="dxa"/>
            <w:tcBorders>
              <w:top w:val="nil"/>
              <w:left w:val="nil"/>
              <w:bottom w:val="nil"/>
              <w:right w:val="nil"/>
            </w:tcBorders>
            <w:vAlign w:val="center"/>
            <w:hideMark/>
          </w:tcPr>
          <w:p w14:paraId="0C1F03D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Pokrycia podłogowe na bazie syntetycznych polimerów termoplastycznych - Specyfikacja</w:t>
            </w:r>
          </w:p>
        </w:tc>
      </w:tr>
      <w:tr w:rsidR="000871D3" w:rsidRPr="000871D3" w14:paraId="65E8F8A3" w14:textId="77777777" w:rsidTr="000871D3">
        <w:trPr>
          <w:trHeight w:val="600"/>
        </w:trPr>
        <w:tc>
          <w:tcPr>
            <w:tcW w:w="3476" w:type="dxa"/>
            <w:tcBorders>
              <w:top w:val="nil"/>
              <w:left w:val="nil"/>
              <w:bottom w:val="nil"/>
              <w:right w:val="nil"/>
            </w:tcBorders>
            <w:noWrap/>
            <w:vAlign w:val="center"/>
            <w:hideMark/>
          </w:tcPr>
          <w:p w14:paraId="4D3CF06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16776:2016-05</w:t>
            </w:r>
          </w:p>
        </w:tc>
        <w:tc>
          <w:tcPr>
            <w:tcW w:w="5596" w:type="dxa"/>
            <w:tcBorders>
              <w:top w:val="nil"/>
              <w:left w:val="nil"/>
              <w:bottom w:val="nil"/>
              <w:right w:val="nil"/>
            </w:tcBorders>
            <w:vAlign w:val="center"/>
            <w:hideMark/>
          </w:tcPr>
          <w:p w14:paraId="35DFCDD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Heterogeniczne pokrycia podłogowe z poliuretanu - Specyfikacja</w:t>
            </w:r>
          </w:p>
        </w:tc>
      </w:tr>
      <w:tr w:rsidR="000871D3" w:rsidRPr="000871D3" w14:paraId="3A25AB2D" w14:textId="77777777" w:rsidTr="000871D3">
        <w:trPr>
          <w:trHeight w:val="300"/>
        </w:trPr>
        <w:tc>
          <w:tcPr>
            <w:tcW w:w="3476" w:type="dxa"/>
            <w:tcBorders>
              <w:top w:val="nil"/>
              <w:left w:val="nil"/>
              <w:bottom w:val="nil"/>
              <w:right w:val="nil"/>
            </w:tcBorders>
            <w:noWrap/>
            <w:vAlign w:val="center"/>
            <w:hideMark/>
          </w:tcPr>
          <w:p w14:paraId="35977A4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17396:2020-12</w:t>
            </w:r>
          </w:p>
        </w:tc>
        <w:tc>
          <w:tcPr>
            <w:tcW w:w="5596" w:type="dxa"/>
            <w:tcBorders>
              <w:top w:val="nil"/>
              <w:left w:val="nil"/>
              <w:bottom w:val="nil"/>
              <w:right w:val="nil"/>
            </w:tcBorders>
            <w:vAlign w:val="center"/>
            <w:hideMark/>
          </w:tcPr>
          <w:p w14:paraId="0F39DED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Kwarcowe płytki winylowe - Specyfikacja</w:t>
            </w:r>
          </w:p>
        </w:tc>
      </w:tr>
      <w:tr w:rsidR="000871D3" w:rsidRPr="000871D3" w14:paraId="76D21C00" w14:textId="77777777" w:rsidTr="000871D3">
        <w:trPr>
          <w:trHeight w:val="600"/>
        </w:trPr>
        <w:tc>
          <w:tcPr>
            <w:tcW w:w="3476" w:type="dxa"/>
            <w:tcBorders>
              <w:top w:val="nil"/>
              <w:left w:val="nil"/>
              <w:bottom w:val="nil"/>
              <w:right w:val="nil"/>
            </w:tcBorders>
            <w:noWrap/>
            <w:vAlign w:val="center"/>
            <w:hideMark/>
          </w:tcPr>
          <w:p w14:paraId="5224C07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1816:2020-09</w:t>
            </w:r>
          </w:p>
        </w:tc>
        <w:tc>
          <w:tcPr>
            <w:tcW w:w="5596" w:type="dxa"/>
            <w:tcBorders>
              <w:top w:val="nil"/>
              <w:left w:val="nil"/>
              <w:bottom w:val="nil"/>
              <w:right w:val="nil"/>
            </w:tcBorders>
            <w:vAlign w:val="center"/>
            <w:hideMark/>
          </w:tcPr>
          <w:p w14:paraId="66F8EE1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Specyfikacja homogenicznych i heterogenicznych gładkich gumowych pokryć podłogowych z podkładem piankowym</w:t>
            </w:r>
          </w:p>
        </w:tc>
      </w:tr>
      <w:tr w:rsidR="000871D3" w:rsidRPr="000871D3" w14:paraId="240934EB" w14:textId="77777777" w:rsidTr="000871D3">
        <w:trPr>
          <w:trHeight w:val="600"/>
        </w:trPr>
        <w:tc>
          <w:tcPr>
            <w:tcW w:w="3476" w:type="dxa"/>
            <w:tcBorders>
              <w:top w:val="nil"/>
              <w:left w:val="nil"/>
              <w:bottom w:val="nil"/>
              <w:right w:val="nil"/>
            </w:tcBorders>
            <w:noWrap/>
            <w:vAlign w:val="center"/>
            <w:hideMark/>
          </w:tcPr>
          <w:p w14:paraId="758928A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1817:2020-09</w:t>
            </w:r>
          </w:p>
        </w:tc>
        <w:tc>
          <w:tcPr>
            <w:tcW w:w="5596" w:type="dxa"/>
            <w:tcBorders>
              <w:top w:val="nil"/>
              <w:left w:val="nil"/>
              <w:bottom w:val="nil"/>
              <w:right w:val="nil"/>
            </w:tcBorders>
            <w:vAlign w:val="center"/>
            <w:hideMark/>
          </w:tcPr>
          <w:p w14:paraId="29EA7EA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Specyfikacja homogenicznych i heterogenicznych gładkich gumowych pokryć podłogowych</w:t>
            </w:r>
          </w:p>
        </w:tc>
      </w:tr>
      <w:tr w:rsidR="000871D3" w:rsidRPr="000871D3" w14:paraId="61AE18BE" w14:textId="77777777" w:rsidTr="000871D3">
        <w:trPr>
          <w:trHeight w:val="300"/>
        </w:trPr>
        <w:tc>
          <w:tcPr>
            <w:tcW w:w="3476" w:type="dxa"/>
            <w:tcBorders>
              <w:top w:val="nil"/>
              <w:left w:val="nil"/>
              <w:bottom w:val="nil"/>
              <w:right w:val="nil"/>
            </w:tcBorders>
            <w:noWrap/>
            <w:vAlign w:val="center"/>
            <w:hideMark/>
          </w:tcPr>
          <w:p w14:paraId="103FDEF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lastRenderedPageBreak/>
              <w:t>PN-EN 432:1999</w:t>
            </w:r>
          </w:p>
        </w:tc>
        <w:tc>
          <w:tcPr>
            <w:tcW w:w="5596" w:type="dxa"/>
            <w:tcBorders>
              <w:top w:val="nil"/>
              <w:left w:val="nil"/>
              <w:bottom w:val="nil"/>
              <w:right w:val="nil"/>
            </w:tcBorders>
            <w:vAlign w:val="center"/>
            <w:hideMark/>
          </w:tcPr>
          <w:p w14:paraId="7D5930B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siły ścinającej</w:t>
            </w:r>
          </w:p>
        </w:tc>
      </w:tr>
      <w:tr w:rsidR="000871D3" w:rsidRPr="000871D3" w14:paraId="42B600EF" w14:textId="77777777" w:rsidTr="000871D3">
        <w:trPr>
          <w:trHeight w:val="900"/>
        </w:trPr>
        <w:tc>
          <w:tcPr>
            <w:tcW w:w="3476" w:type="dxa"/>
            <w:tcBorders>
              <w:top w:val="nil"/>
              <w:left w:val="nil"/>
              <w:bottom w:val="nil"/>
              <w:right w:val="nil"/>
            </w:tcBorders>
            <w:noWrap/>
            <w:vAlign w:val="center"/>
            <w:hideMark/>
          </w:tcPr>
          <w:p w14:paraId="6EF8296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650:2013-03</w:t>
            </w:r>
          </w:p>
        </w:tc>
        <w:tc>
          <w:tcPr>
            <w:tcW w:w="5596" w:type="dxa"/>
            <w:tcBorders>
              <w:top w:val="nil"/>
              <w:left w:val="nil"/>
              <w:bottom w:val="nil"/>
              <w:right w:val="nil"/>
            </w:tcBorders>
            <w:vAlign w:val="center"/>
            <w:hideMark/>
          </w:tcPr>
          <w:p w14:paraId="415A5D3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Elastyczne pokrycia podłogowe - Pokrycia podłogowe polichlorowinylowe na spodzie jutowym lub z włókniny poliestrowej, lub na włókninie poliestrowej na spodzie z </w:t>
            </w:r>
            <w:proofErr w:type="spellStart"/>
            <w:r w:rsidRPr="000871D3">
              <w:rPr>
                <w:rFonts w:eastAsia="Times New Roman" w:cs="Calibri"/>
                <w:color w:val="000000"/>
                <w:lang w:eastAsia="pl-PL"/>
              </w:rPr>
              <w:t>poli</w:t>
            </w:r>
            <w:proofErr w:type="spellEnd"/>
            <w:r w:rsidRPr="000871D3">
              <w:rPr>
                <w:rFonts w:eastAsia="Times New Roman" w:cs="Calibri"/>
                <w:color w:val="000000"/>
                <w:lang w:eastAsia="pl-PL"/>
              </w:rPr>
              <w:t>(chlorku winylu) - Specyfikacja</w:t>
            </w:r>
          </w:p>
        </w:tc>
      </w:tr>
      <w:tr w:rsidR="000871D3" w:rsidRPr="000871D3" w14:paraId="29C191D6" w14:textId="77777777" w:rsidTr="000871D3">
        <w:trPr>
          <w:trHeight w:val="600"/>
        </w:trPr>
        <w:tc>
          <w:tcPr>
            <w:tcW w:w="3476" w:type="dxa"/>
            <w:tcBorders>
              <w:top w:val="nil"/>
              <w:left w:val="nil"/>
              <w:bottom w:val="nil"/>
              <w:right w:val="nil"/>
            </w:tcBorders>
            <w:noWrap/>
            <w:vAlign w:val="center"/>
            <w:hideMark/>
          </w:tcPr>
          <w:p w14:paraId="5B4EAC6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651:2011</w:t>
            </w:r>
          </w:p>
        </w:tc>
        <w:tc>
          <w:tcPr>
            <w:tcW w:w="5596" w:type="dxa"/>
            <w:tcBorders>
              <w:top w:val="nil"/>
              <w:left w:val="nil"/>
              <w:bottom w:val="nil"/>
              <w:right w:val="nil"/>
            </w:tcBorders>
            <w:vAlign w:val="center"/>
            <w:hideMark/>
          </w:tcPr>
          <w:p w14:paraId="74382A7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Pokrycia podłogowe polichlorowinylowe z warstwą spienioną - Specyfikacja</w:t>
            </w:r>
          </w:p>
        </w:tc>
      </w:tr>
      <w:tr w:rsidR="000871D3" w:rsidRPr="000871D3" w14:paraId="5540CF3D" w14:textId="77777777" w:rsidTr="000871D3">
        <w:trPr>
          <w:trHeight w:val="600"/>
        </w:trPr>
        <w:tc>
          <w:tcPr>
            <w:tcW w:w="3476" w:type="dxa"/>
            <w:tcBorders>
              <w:top w:val="nil"/>
              <w:left w:val="nil"/>
              <w:bottom w:val="nil"/>
              <w:right w:val="nil"/>
            </w:tcBorders>
            <w:noWrap/>
            <w:vAlign w:val="center"/>
            <w:hideMark/>
          </w:tcPr>
          <w:p w14:paraId="0204959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652:2011</w:t>
            </w:r>
          </w:p>
        </w:tc>
        <w:tc>
          <w:tcPr>
            <w:tcW w:w="5596" w:type="dxa"/>
            <w:tcBorders>
              <w:top w:val="nil"/>
              <w:left w:val="nil"/>
              <w:bottom w:val="nil"/>
              <w:right w:val="nil"/>
            </w:tcBorders>
            <w:vAlign w:val="center"/>
            <w:hideMark/>
          </w:tcPr>
          <w:p w14:paraId="04EB62F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Pokrycia podłogowe polichlorowinylowe ze spodem na bazie korka - Specyfikacja</w:t>
            </w:r>
          </w:p>
        </w:tc>
      </w:tr>
      <w:tr w:rsidR="000871D3" w:rsidRPr="000871D3" w14:paraId="069D49F0" w14:textId="77777777" w:rsidTr="000871D3">
        <w:trPr>
          <w:trHeight w:val="600"/>
        </w:trPr>
        <w:tc>
          <w:tcPr>
            <w:tcW w:w="3476" w:type="dxa"/>
            <w:tcBorders>
              <w:top w:val="nil"/>
              <w:left w:val="nil"/>
              <w:bottom w:val="nil"/>
              <w:right w:val="nil"/>
            </w:tcBorders>
            <w:noWrap/>
            <w:vAlign w:val="center"/>
            <w:hideMark/>
          </w:tcPr>
          <w:p w14:paraId="325B2D6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655:2011</w:t>
            </w:r>
          </w:p>
        </w:tc>
        <w:tc>
          <w:tcPr>
            <w:tcW w:w="5596" w:type="dxa"/>
            <w:tcBorders>
              <w:top w:val="nil"/>
              <w:left w:val="nil"/>
              <w:bottom w:val="nil"/>
              <w:right w:val="nil"/>
            </w:tcBorders>
            <w:vAlign w:val="center"/>
            <w:hideMark/>
          </w:tcPr>
          <w:p w14:paraId="6EE948D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Płytki na spodzie z korka prasowanego z warstwą użytkową polichlorowinylową - Specyfikacja</w:t>
            </w:r>
          </w:p>
        </w:tc>
      </w:tr>
      <w:tr w:rsidR="000871D3" w:rsidRPr="000871D3" w14:paraId="51551742" w14:textId="77777777" w:rsidTr="000871D3">
        <w:trPr>
          <w:trHeight w:val="600"/>
        </w:trPr>
        <w:tc>
          <w:tcPr>
            <w:tcW w:w="3476" w:type="dxa"/>
            <w:tcBorders>
              <w:top w:val="nil"/>
              <w:left w:val="nil"/>
              <w:bottom w:val="nil"/>
              <w:right w:val="nil"/>
            </w:tcBorders>
            <w:noWrap/>
            <w:vAlign w:val="center"/>
            <w:hideMark/>
          </w:tcPr>
          <w:p w14:paraId="5B2A353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660-2:2002/A1:2004</w:t>
            </w:r>
          </w:p>
        </w:tc>
        <w:tc>
          <w:tcPr>
            <w:tcW w:w="5596" w:type="dxa"/>
            <w:tcBorders>
              <w:top w:val="nil"/>
              <w:left w:val="nil"/>
              <w:bottom w:val="nil"/>
              <w:right w:val="nil"/>
            </w:tcBorders>
            <w:vAlign w:val="center"/>
            <w:hideMark/>
          </w:tcPr>
          <w:p w14:paraId="7D4814D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Elastyczne pokrycia podłogowe - Wyznaczanie odporności na ścieranie - Część 2: Metoda </w:t>
            </w:r>
            <w:proofErr w:type="spellStart"/>
            <w:r w:rsidRPr="000871D3">
              <w:rPr>
                <w:rFonts w:eastAsia="Times New Roman" w:cs="Calibri"/>
                <w:color w:val="000000"/>
                <w:lang w:eastAsia="pl-PL"/>
              </w:rPr>
              <w:t>Fricka-Tabera</w:t>
            </w:r>
            <w:proofErr w:type="spellEnd"/>
          </w:p>
        </w:tc>
      </w:tr>
      <w:tr w:rsidR="000871D3" w:rsidRPr="000871D3" w14:paraId="29CCAE5B" w14:textId="77777777" w:rsidTr="000871D3">
        <w:trPr>
          <w:trHeight w:val="300"/>
        </w:trPr>
        <w:tc>
          <w:tcPr>
            <w:tcW w:w="3476" w:type="dxa"/>
            <w:tcBorders>
              <w:top w:val="nil"/>
              <w:left w:val="nil"/>
              <w:bottom w:val="nil"/>
              <w:right w:val="nil"/>
            </w:tcBorders>
            <w:noWrap/>
            <w:vAlign w:val="center"/>
            <w:hideMark/>
          </w:tcPr>
          <w:p w14:paraId="486A290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661:2001</w:t>
            </w:r>
          </w:p>
        </w:tc>
        <w:tc>
          <w:tcPr>
            <w:tcW w:w="5596" w:type="dxa"/>
            <w:tcBorders>
              <w:top w:val="nil"/>
              <w:left w:val="nil"/>
              <w:bottom w:val="nil"/>
              <w:right w:val="nil"/>
            </w:tcBorders>
            <w:vAlign w:val="center"/>
            <w:hideMark/>
          </w:tcPr>
          <w:p w14:paraId="2BB3BFA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rozprzestrzeniania się wody</w:t>
            </w:r>
          </w:p>
        </w:tc>
      </w:tr>
      <w:tr w:rsidR="000871D3" w:rsidRPr="000871D3" w14:paraId="5724DE48" w14:textId="77777777" w:rsidTr="000871D3">
        <w:trPr>
          <w:trHeight w:val="300"/>
        </w:trPr>
        <w:tc>
          <w:tcPr>
            <w:tcW w:w="3476" w:type="dxa"/>
            <w:tcBorders>
              <w:top w:val="nil"/>
              <w:left w:val="nil"/>
              <w:bottom w:val="nil"/>
              <w:right w:val="nil"/>
            </w:tcBorders>
            <w:noWrap/>
            <w:vAlign w:val="center"/>
            <w:hideMark/>
          </w:tcPr>
          <w:p w14:paraId="2C49AB7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662:2000</w:t>
            </w:r>
          </w:p>
        </w:tc>
        <w:tc>
          <w:tcPr>
            <w:tcW w:w="5596" w:type="dxa"/>
            <w:tcBorders>
              <w:top w:val="nil"/>
              <w:left w:val="nil"/>
              <w:bottom w:val="nil"/>
              <w:right w:val="nil"/>
            </w:tcBorders>
            <w:vAlign w:val="center"/>
            <w:hideMark/>
          </w:tcPr>
          <w:p w14:paraId="2144600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zwijania się pod wpływem wilgoci</w:t>
            </w:r>
          </w:p>
        </w:tc>
      </w:tr>
      <w:tr w:rsidR="000871D3" w:rsidRPr="000871D3" w14:paraId="7BBF9C32" w14:textId="77777777" w:rsidTr="000871D3">
        <w:trPr>
          <w:trHeight w:val="300"/>
        </w:trPr>
        <w:tc>
          <w:tcPr>
            <w:tcW w:w="3476" w:type="dxa"/>
            <w:tcBorders>
              <w:top w:val="nil"/>
              <w:left w:val="nil"/>
              <w:bottom w:val="nil"/>
              <w:right w:val="nil"/>
            </w:tcBorders>
            <w:noWrap/>
            <w:vAlign w:val="center"/>
            <w:hideMark/>
          </w:tcPr>
          <w:p w14:paraId="3C70660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663:2000</w:t>
            </w:r>
          </w:p>
        </w:tc>
        <w:tc>
          <w:tcPr>
            <w:tcW w:w="5596" w:type="dxa"/>
            <w:tcBorders>
              <w:top w:val="nil"/>
              <w:left w:val="nil"/>
              <w:bottom w:val="nil"/>
              <w:right w:val="nil"/>
            </w:tcBorders>
            <w:vAlign w:val="center"/>
            <w:hideMark/>
          </w:tcPr>
          <w:p w14:paraId="3F069CF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typowej głębokości wzoru</w:t>
            </w:r>
          </w:p>
        </w:tc>
      </w:tr>
      <w:tr w:rsidR="000871D3" w:rsidRPr="000871D3" w14:paraId="176538D5" w14:textId="77777777" w:rsidTr="000871D3">
        <w:trPr>
          <w:trHeight w:val="300"/>
        </w:trPr>
        <w:tc>
          <w:tcPr>
            <w:tcW w:w="3476" w:type="dxa"/>
            <w:tcBorders>
              <w:top w:val="nil"/>
              <w:left w:val="nil"/>
              <w:bottom w:val="nil"/>
              <w:right w:val="nil"/>
            </w:tcBorders>
            <w:noWrap/>
            <w:vAlign w:val="center"/>
            <w:hideMark/>
          </w:tcPr>
          <w:p w14:paraId="00D8116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665:2000</w:t>
            </w:r>
          </w:p>
        </w:tc>
        <w:tc>
          <w:tcPr>
            <w:tcW w:w="5596" w:type="dxa"/>
            <w:tcBorders>
              <w:top w:val="nil"/>
              <w:left w:val="nil"/>
              <w:bottom w:val="nil"/>
              <w:right w:val="nil"/>
            </w:tcBorders>
            <w:vAlign w:val="center"/>
            <w:hideMark/>
          </w:tcPr>
          <w:p w14:paraId="7C20F50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migracji plastyfikatora</w:t>
            </w:r>
          </w:p>
        </w:tc>
      </w:tr>
      <w:tr w:rsidR="000871D3" w:rsidRPr="000871D3" w14:paraId="45149015" w14:textId="77777777" w:rsidTr="000871D3">
        <w:trPr>
          <w:trHeight w:val="300"/>
        </w:trPr>
        <w:tc>
          <w:tcPr>
            <w:tcW w:w="3476" w:type="dxa"/>
            <w:tcBorders>
              <w:top w:val="nil"/>
              <w:left w:val="nil"/>
              <w:bottom w:val="nil"/>
              <w:right w:val="nil"/>
            </w:tcBorders>
            <w:noWrap/>
            <w:vAlign w:val="center"/>
            <w:hideMark/>
          </w:tcPr>
          <w:p w14:paraId="21420B3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666:2000</w:t>
            </w:r>
          </w:p>
        </w:tc>
        <w:tc>
          <w:tcPr>
            <w:tcW w:w="5596" w:type="dxa"/>
            <w:tcBorders>
              <w:top w:val="nil"/>
              <w:left w:val="nil"/>
              <w:bottom w:val="nil"/>
              <w:right w:val="nil"/>
            </w:tcBorders>
            <w:vAlign w:val="center"/>
            <w:hideMark/>
          </w:tcPr>
          <w:p w14:paraId="7DB5DE0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żelowania</w:t>
            </w:r>
          </w:p>
        </w:tc>
      </w:tr>
      <w:tr w:rsidR="000871D3" w:rsidRPr="000871D3" w14:paraId="577DD231" w14:textId="77777777" w:rsidTr="000871D3">
        <w:trPr>
          <w:trHeight w:val="600"/>
        </w:trPr>
        <w:tc>
          <w:tcPr>
            <w:tcW w:w="3476" w:type="dxa"/>
            <w:tcBorders>
              <w:top w:val="nil"/>
              <w:left w:val="nil"/>
              <w:bottom w:val="nil"/>
              <w:right w:val="nil"/>
            </w:tcBorders>
            <w:noWrap/>
            <w:vAlign w:val="center"/>
            <w:hideMark/>
          </w:tcPr>
          <w:p w14:paraId="40E85D1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669:2000</w:t>
            </w:r>
          </w:p>
        </w:tc>
        <w:tc>
          <w:tcPr>
            <w:tcW w:w="5596" w:type="dxa"/>
            <w:tcBorders>
              <w:top w:val="nil"/>
              <w:left w:val="nil"/>
              <w:bottom w:val="nil"/>
              <w:right w:val="nil"/>
            </w:tcBorders>
            <w:vAlign w:val="center"/>
            <w:hideMark/>
          </w:tcPr>
          <w:p w14:paraId="2D48A8B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stabilności wymiarów płytek z linoleum, spowodowanej zmianami wilgotności powietrza</w:t>
            </w:r>
          </w:p>
        </w:tc>
      </w:tr>
      <w:tr w:rsidR="000871D3" w:rsidRPr="000871D3" w14:paraId="030D3813" w14:textId="77777777" w:rsidTr="000871D3">
        <w:trPr>
          <w:trHeight w:val="300"/>
        </w:trPr>
        <w:tc>
          <w:tcPr>
            <w:tcW w:w="3476" w:type="dxa"/>
            <w:tcBorders>
              <w:top w:val="nil"/>
              <w:left w:val="nil"/>
              <w:bottom w:val="nil"/>
              <w:right w:val="nil"/>
            </w:tcBorders>
            <w:noWrap/>
            <w:vAlign w:val="center"/>
            <w:hideMark/>
          </w:tcPr>
          <w:p w14:paraId="10F58DD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684:2001</w:t>
            </w:r>
          </w:p>
        </w:tc>
        <w:tc>
          <w:tcPr>
            <w:tcW w:w="5596" w:type="dxa"/>
            <w:tcBorders>
              <w:top w:val="nil"/>
              <w:left w:val="nil"/>
              <w:bottom w:val="nil"/>
              <w:right w:val="nil"/>
            </w:tcBorders>
            <w:vAlign w:val="center"/>
            <w:hideMark/>
          </w:tcPr>
          <w:p w14:paraId="374F94D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wytrzymałości spoin</w:t>
            </w:r>
          </w:p>
        </w:tc>
      </w:tr>
      <w:tr w:rsidR="000871D3" w:rsidRPr="000871D3" w14:paraId="3DF5751A" w14:textId="77777777" w:rsidTr="000871D3">
        <w:trPr>
          <w:trHeight w:val="600"/>
        </w:trPr>
        <w:tc>
          <w:tcPr>
            <w:tcW w:w="3476" w:type="dxa"/>
            <w:tcBorders>
              <w:top w:val="nil"/>
              <w:left w:val="nil"/>
              <w:bottom w:val="nil"/>
              <w:right w:val="nil"/>
            </w:tcBorders>
            <w:noWrap/>
            <w:vAlign w:val="center"/>
            <w:hideMark/>
          </w:tcPr>
          <w:p w14:paraId="2D2CE71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686:2019-07</w:t>
            </w:r>
          </w:p>
        </w:tc>
        <w:tc>
          <w:tcPr>
            <w:tcW w:w="5596" w:type="dxa"/>
            <w:tcBorders>
              <w:top w:val="nil"/>
              <w:left w:val="nil"/>
              <w:bottom w:val="nil"/>
              <w:right w:val="nil"/>
            </w:tcBorders>
            <w:vAlign w:val="center"/>
            <w:hideMark/>
          </w:tcPr>
          <w:p w14:paraId="2EA9AA4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Specyfikacja jednobarwnego i wzorzystego linoleum na podkładzie z pianki</w:t>
            </w:r>
          </w:p>
        </w:tc>
      </w:tr>
      <w:tr w:rsidR="000871D3" w:rsidRPr="000871D3" w14:paraId="257635B0" w14:textId="77777777" w:rsidTr="000871D3">
        <w:trPr>
          <w:trHeight w:val="600"/>
        </w:trPr>
        <w:tc>
          <w:tcPr>
            <w:tcW w:w="3476" w:type="dxa"/>
            <w:tcBorders>
              <w:top w:val="nil"/>
              <w:left w:val="nil"/>
              <w:bottom w:val="nil"/>
              <w:right w:val="nil"/>
            </w:tcBorders>
            <w:noWrap/>
            <w:vAlign w:val="center"/>
            <w:hideMark/>
          </w:tcPr>
          <w:p w14:paraId="0C9A391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687:2019-07</w:t>
            </w:r>
          </w:p>
        </w:tc>
        <w:tc>
          <w:tcPr>
            <w:tcW w:w="5596" w:type="dxa"/>
            <w:tcBorders>
              <w:top w:val="nil"/>
              <w:left w:val="nil"/>
              <w:bottom w:val="nil"/>
              <w:right w:val="nil"/>
            </w:tcBorders>
            <w:vAlign w:val="center"/>
            <w:hideMark/>
          </w:tcPr>
          <w:p w14:paraId="138D0E9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Specyfikacja jednobarwnego i wzorzystego linoleum na spodzie z kompozytu korkowego</w:t>
            </w:r>
          </w:p>
        </w:tc>
      </w:tr>
      <w:tr w:rsidR="000871D3" w:rsidRPr="000871D3" w14:paraId="63A3FD91" w14:textId="77777777" w:rsidTr="000871D3">
        <w:trPr>
          <w:trHeight w:val="300"/>
        </w:trPr>
        <w:tc>
          <w:tcPr>
            <w:tcW w:w="3476" w:type="dxa"/>
            <w:tcBorders>
              <w:top w:val="nil"/>
              <w:left w:val="nil"/>
              <w:bottom w:val="nil"/>
              <w:right w:val="nil"/>
            </w:tcBorders>
            <w:noWrap/>
            <w:vAlign w:val="center"/>
            <w:hideMark/>
          </w:tcPr>
          <w:p w14:paraId="42F6718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688:2011</w:t>
            </w:r>
          </w:p>
        </w:tc>
        <w:tc>
          <w:tcPr>
            <w:tcW w:w="5596" w:type="dxa"/>
            <w:tcBorders>
              <w:top w:val="nil"/>
              <w:left w:val="nil"/>
              <w:bottom w:val="nil"/>
              <w:right w:val="nil"/>
            </w:tcBorders>
            <w:vAlign w:val="center"/>
            <w:hideMark/>
          </w:tcPr>
          <w:p w14:paraId="036F65E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Specyfikacja linoleum korkowego</w:t>
            </w:r>
          </w:p>
        </w:tc>
      </w:tr>
      <w:tr w:rsidR="000871D3" w:rsidRPr="000871D3" w14:paraId="0ED59DBF" w14:textId="77777777" w:rsidTr="000871D3">
        <w:trPr>
          <w:trHeight w:val="600"/>
        </w:trPr>
        <w:tc>
          <w:tcPr>
            <w:tcW w:w="3476" w:type="dxa"/>
            <w:tcBorders>
              <w:top w:val="nil"/>
              <w:left w:val="nil"/>
              <w:bottom w:val="nil"/>
              <w:right w:val="nil"/>
            </w:tcBorders>
            <w:noWrap/>
            <w:vAlign w:val="center"/>
            <w:hideMark/>
          </w:tcPr>
          <w:p w14:paraId="2543908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10581:2020-07</w:t>
            </w:r>
          </w:p>
        </w:tc>
        <w:tc>
          <w:tcPr>
            <w:tcW w:w="5596" w:type="dxa"/>
            <w:tcBorders>
              <w:top w:val="nil"/>
              <w:left w:val="nil"/>
              <w:bottom w:val="nil"/>
              <w:right w:val="nil"/>
            </w:tcBorders>
            <w:vAlign w:val="center"/>
            <w:hideMark/>
          </w:tcPr>
          <w:p w14:paraId="2C0D21C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Elastyczne pokrycia podłogowe - Homogeniczne pokrycia podłogowe z </w:t>
            </w:r>
            <w:proofErr w:type="spellStart"/>
            <w:r w:rsidRPr="000871D3">
              <w:rPr>
                <w:rFonts w:eastAsia="Times New Roman" w:cs="Calibri"/>
                <w:color w:val="000000"/>
                <w:lang w:eastAsia="pl-PL"/>
              </w:rPr>
              <w:t>poli</w:t>
            </w:r>
            <w:proofErr w:type="spellEnd"/>
            <w:r w:rsidRPr="000871D3">
              <w:rPr>
                <w:rFonts w:eastAsia="Times New Roman" w:cs="Calibri"/>
                <w:color w:val="000000"/>
                <w:lang w:eastAsia="pl-PL"/>
              </w:rPr>
              <w:t>(chlorku winylu) - Specyfikacja</w:t>
            </w:r>
          </w:p>
        </w:tc>
      </w:tr>
      <w:tr w:rsidR="000871D3" w:rsidRPr="000871D3" w14:paraId="16327A72" w14:textId="77777777" w:rsidTr="000871D3">
        <w:trPr>
          <w:trHeight w:val="600"/>
        </w:trPr>
        <w:tc>
          <w:tcPr>
            <w:tcW w:w="3476" w:type="dxa"/>
            <w:tcBorders>
              <w:top w:val="nil"/>
              <w:left w:val="nil"/>
              <w:bottom w:val="nil"/>
              <w:right w:val="nil"/>
            </w:tcBorders>
            <w:noWrap/>
            <w:vAlign w:val="center"/>
            <w:hideMark/>
          </w:tcPr>
          <w:p w14:paraId="341162A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10582:2018-03</w:t>
            </w:r>
          </w:p>
        </w:tc>
        <w:tc>
          <w:tcPr>
            <w:tcW w:w="5596" w:type="dxa"/>
            <w:tcBorders>
              <w:top w:val="nil"/>
              <w:left w:val="nil"/>
              <w:bottom w:val="nil"/>
              <w:right w:val="nil"/>
            </w:tcBorders>
            <w:vAlign w:val="center"/>
            <w:hideMark/>
          </w:tcPr>
          <w:p w14:paraId="1A03933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Elastyczne pokrycia podłogowe - Heterogeniczne pokrycie podłogowe z </w:t>
            </w:r>
            <w:proofErr w:type="spellStart"/>
            <w:r w:rsidRPr="000871D3">
              <w:rPr>
                <w:rFonts w:eastAsia="Times New Roman" w:cs="Calibri"/>
                <w:color w:val="000000"/>
                <w:lang w:eastAsia="pl-PL"/>
              </w:rPr>
              <w:t>poli</w:t>
            </w:r>
            <w:proofErr w:type="spellEnd"/>
            <w:r w:rsidRPr="000871D3">
              <w:rPr>
                <w:rFonts w:eastAsia="Times New Roman" w:cs="Calibri"/>
                <w:color w:val="000000"/>
                <w:lang w:eastAsia="pl-PL"/>
              </w:rPr>
              <w:t>(chlorku winylu) - Specyfikacje</w:t>
            </w:r>
          </w:p>
        </w:tc>
      </w:tr>
      <w:tr w:rsidR="000871D3" w:rsidRPr="000871D3" w14:paraId="1A741517" w14:textId="77777777" w:rsidTr="000871D3">
        <w:trPr>
          <w:trHeight w:val="600"/>
        </w:trPr>
        <w:tc>
          <w:tcPr>
            <w:tcW w:w="3476" w:type="dxa"/>
            <w:tcBorders>
              <w:top w:val="nil"/>
              <w:left w:val="nil"/>
              <w:bottom w:val="nil"/>
              <w:right w:val="nil"/>
            </w:tcBorders>
            <w:noWrap/>
            <w:vAlign w:val="center"/>
            <w:hideMark/>
          </w:tcPr>
          <w:p w14:paraId="2990315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10595:2012</w:t>
            </w:r>
          </w:p>
        </w:tc>
        <w:tc>
          <w:tcPr>
            <w:tcW w:w="5596" w:type="dxa"/>
            <w:tcBorders>
              <w:top w:val="nil"/>
              <w:left w:val="nil"/>
              <w:bottom w:val="nil"/>
              <w:right w:val="nil"/>
            </w:tcBorders>
            <w:vAlign w:val="center"/>
            <w:hideMark/>
          </w:tcPr>
          <w:p w14:paraId="1BC2C7B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Elastyczne pokrycia podłogowe - Półelastyczne/winylowe (VCT) płytki z </w:t>
            </w:r>
            <w:proofErr w:type="spellStart"/>
            <w:r w:rsidRPr="000871D3">
              <w:rPr>
                <w:rFonts w:eastAsia="Times New Roman" w:cs="Calibri"/>
                <w:color w:val="000000"/>
                <w:lang w:eastAsia="pl-PL"/>
              </w:rPr>
              <w:t>poli</w:t>
            </w:r>
            <w:proofErr w:type="spellEnd"/>
            <w:r w:rsidRPr="000871D3">
              <w:rPr>
                <w:rFonts w:eastAsia="Times New Roman" w:cs="Calibri"/>
                <w:color w:val="000000"/>
                <w:lang w:eastAsia="pl-PL"/>
              </w:rPr>
              <w:t>(chlorku winylu) - Specyfikacja</w:t>
            </w:r>
          </w:p>
        </w:tc>
      </w:tr>
      <w:tr w:rsidR="000871D3" w:rsidRPr="000871D3" w14:paraId="2E52B217" w14:textId="77777777" w:rsidTr="000871D3">
        <w:trPr>
          <w:trHeight w:val="600"/>
        </w:trPr>
        <w:tc>
          <w:tcPr>
            <w:tcW w:w="3476" w:type="dxa"/>
            <w:tcBorders>
              <w:top w:val="nil"/>
              <w:left w:val="nil"/>
              <w:bottom w:val="nil"/>
              <w:right w:val="nil"/>
            </w:tcBorders>
            <w:noWrap/>
            <w:vAlign w:val="center"/>
            <w:hideMark/>
          </w:tcPr>
          <w:p w14:paraId="7259DEE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20326:2019-01/A1:2021-03</w:t>
            </w:r>
          </w:p>
        </w:tc>
        <w:tc>
          <w:tcPr>
            <w:tcW w:w="5596" w:type="dxa"/>
            <w:tcBorders>
              <w:top w:val="nil"/>
              <w:left w:val="nil"/>
              <w:bottom w:val="nil"/>
              <w:right w:val="nil"/>
            </w:tcBorders>
            <w:vAlign w:val="center"/>
            <w:hideMark/>
          </w:tcPr>
          <w:p w14:paraId="7CC8618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Wymagania dla paneli podłogowych/zestawów do luźnego ułożenia</w:t>
            </w:r>
          </w:p>
        </w:tc>
      </w:tr>
      <w:tr w:rsidR="000871D3" w:rsidRPr="000871D3" w14:paraId="1C101342" w14:textId="77777777" w:rsidTr="000871D3">
        <w:trPr>
          <w:trHeight w:val="300"/>
        </w:trPr>
        <w:tc>
          <w:tcPr>
            <w:tcW w:w="3476" w:type="dxa"/>
            <w:tcBorders>
              <w:top w:val="nil"/>
              <w:left w:val="nil"/>
              <w:bottom w:val="nil"/>
              <w:right w:val="nil"/>
            </w:tcBorders>
            <w:noWrap/>
            <w:vAlign w:val="center"/>
            <w:hideMark/>
          </w:tcPr>
          <w:p w14:paraId="3586F6C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23996:2012</w:t>
            </w:r>
          </w:p>
        </w:tc>
        <w:tc>
          <w:tcPr>
            <w:tcW w:w="5596" w:type="dxa"/>
            <w:tcBorders>
              <w:top w:val="nil"/>
              <w:left w:val="nil"/>
              <w:bottom w:val="nil"/>
              <w:right w:val="nil"/>
            </w:tcBorders>
            <w:vAlign w:val="center"/>
            <w:hideMark/>
          </w:tcPr>
          <w:p w14:paraId="15B6ACC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gęstości</w:t>
            </w:r>
          </w:p>
        </w:tc>
      </w:tr>
      <w:tr w:rsidR="000871D3" w:rsidRPr="000871D3" w14:paraId="5348B08B" w14:textId="77777777" w:rsidTr="000871D3">
        <w:trPr>
          <w:trHeight w:val="300"/>
        </w:trPr>
        <w:tc>
          <w:tcPr>
            <w:tcW w:w="3476" w:type="dxa"/>
            <w:tcBorders>
              <w:top w:val="nil"/>
              <w:left w:val="nil"/>
              <w:bottom w:val="nil"/>
              <w:right w:val="nil"/>
            </w:tcBorders>
            <w:noWrap/>
            <w:vAlign w:val="center"/>
            <w:hideMark/>
          </w:tcPr>
          <w:p w14:paraId="2FBF9C3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23997:2012</w:t>
            </w:r>
          </w:p>
        </w:tc>
        <w:tc>
          <w:tcPr>
            <w:tcW w:w="5596" w:type="dxa"/>
            <w:tcBorders>
              <w:top w:val="nil"/>
              <w:left w:val="nil"/>
              <w:bottom w:val="nil"/>
              <w:right w:val="nil"/>
            </w:tcBorders>
            <w:vAlign w:val="center"/>
            <w:hideMark/>
          </w:tcPr>
          <w:p w14:paraId="64D8267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masy powierzchniowej</w:t>
            </w:r>
          </w:p>
        </w:tc>
      </w:tr>
      <w:tr w:rsidR="000871D3" w:rsidRPr="000871D3" w14:paraId="5FEEF840" w14:textId="77777777" w:rsidTr="000871D3">
        <w:trPr>
          <w:trHeight w:val="600"/>
        </w:trPr>
        <w:tc>
          <w:tcPr>
            <w:tcW w:w="3476" w:type="dxa"/>
            <w:tcBorders>
              <w:top w:val="nil"/>
              <w:left w:val="nil"/>
              <w:bottom w:val="nil"/>
              <w:right w:val="nil"/>
            </w:tcBorders>
            <w:noWrap/>
            <w:vAlign w:val="center"/>
            <w:hideMark/>
          </w:tcPr>
          <w:p w14:paraId="26A9B45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23999:2022-04</w:t>
            </w:r>
          </w:p>
        </w:tc>
        <w:tc>
          <w:tcPr>
            <w:tcW w:w="5596" w:type="dxa"/>
            <w:tcBorders>
              <w:top w:val="nil"/>
              <w:left w:val="nil"/>
              <w:bottom w:val="nil"/>
              <w:right w:val="nil"/>
            </w:tcBorders>
            <w:vAlign w:val="center"/>
            <w:hideMark/>
          </w:tcPr>
          <w:p w14:paraId="577934E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Wyznaczenie stabilności wymiarów i zwijania się po działaniu ciepła</w:t>
            </w:r>
          </w:p>
        </w:tc>
      </w:tr>
      <w:tr w:rsidR="000871D3" w:rsidRPr="000871D3" w14:paraId="528F8931" w14:textId="77777777" w:rsidTr="000871D3">
        <w:trPr>
          <w:trHeight w:val="600"/>
        </w:trPr>
        <w:tc>
          <w:tcPr>
            <w:tcW w:w="3476" w:type="dxa"/>
            <w:tcBorders>
              <w:top w:val="nil"/>
              <w:left w:val="nil"/>
              <w:bottom w:val="nil"/>
              <w:right w:val="nil"/>
            </w:tcBorders>
            <w:noWrap/>
            <w:vAlign w:val="center"/>
            <w:hideMark/>
          </w:tcPr>
          <w:p w14:paraId="6DB69EE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lastRenderedPageBreak/>
              <w:t>PN-EN ISO 24011:2012</w:t>
            </w:r>
          </w:p>
        </w:tc>
        <w:tc>
          <w:tcPr>
            <w:tcW w:w="5596" w:type="dxa"/>
            <w:tcBorders>
              <w:top w:val="nil"/>
              <w:left w:val="nil"/>
              <w:bottom w:val="nil"/>
              <w:right w:val="nil"/>
            </w:tcBorders>
            <w:vAlign w:val="center"/>
            <w:hideMark/>
          </w:tcPr>
          <w:p w14:paraId="11FA836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Specyfikacja dotycząca jednobarwnego i wzorzystego linoleum</w:t>
            </w:r>
          </w:p>
        </w:tc>
      </w:tr>
      <w:tr w:rsidR="000871D3" w:rsidRPr="000871D3" w14:paraId="50322146" w14:textId="77777777" w:rsidTr="000871D3">
        <w:trPr>
          <w:trHeight w:val="300"/>
        </w:trPr>
        <w:tc>
          <w:tcPr>
            <w:tcW w:w="3476" w:type="dxa"/>
            <w:tcBorders>
              <w:top w:val="nil"/>
              <w:left w:val="nil"/>
              <w:bottom w:val="nil"/>
              <w:right w:val="nil"/>
            </w:tcBorders>
            <w:noWrap/>
            <w:vAlign w:val="center"/>
            <w:hideMark/>
          </w:tcPr>
          <w:p w14:paraId="678EEBE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24340:2012</w:t>
            </w:r>
          </w:p>
        </w:tc>
        <w:tc>
          <w:tcPr>
            <w:tcW w:w="5596" w:type="dxa"/>
            <w:tcBorders>
              <w:top w:val="nil"/>
              <w:left w:val="nil"/>
              <w:bottom w:val="nil"/>
              <w:right w:val="nil"/>
            </w:tcBorders>
            <w:vAlign w:val="center"/>
            <w:hideMark/>
          </w:tcPr>
          <w:p w14:paraId="70FDB5B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grubości warstw</w:t>
            </w:r>
          </w:p>
        </w:tc>
      </w:tr>
      <w:tr w:rsidR="000871D3" w:rsidRPr="000871D3" w14:paraId="6CBC2EFE" w14:textId="77777777" w:rsidTr="000871D3">
        <w:trPr>
          <w:trHeight w:val="300"/>
        </w:trPr>
        <w:tc>
          <w:tcPr>
            <w:tcW w:w="3476" w:type="dxa"/>
            <w:tcBorders>
              <w:top w:val="nil"/>
              <w:left w:val="nil"/>
              <w:bottom w:val="nil"/>
              <w:right w:val="nil"/>
            </w:tcBorders>
            <w:noWrap/>
            <w:vAlign w:val="center"/>
            <w:hideMark/>
          </w:tcPr>
          <w:p w14:paraId="2E335FF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24344:2012</w:t>
            </w:r>
          </w:p>
        </w:tc>
        <w:tc>
          <w:tcPr>
            <w:tcW w:w="5596" w:type="dxa"/>
            <w:tcBorders>
              <w:top w:val="nil"/>
              <w:left w:val="nil"/>
              <w:bottom w:val="nil"/>
              <w:right w:val="nil"/>
            </w:tcBorders>
            <w:vAlign w:val="center"/>
            <w:hideMark/>
          </w:tcPr>
          <w:p w14:paraId="03F5189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giętkości i ugięcia</w:t>
            </w:r>
          </w:p>
        </w:tc>
      </w:tr>
      <w:tr w:rsidR="000871D3" w:rsidRPr="000871D3" w14:paraId="3EFA6A4A" w14:textId="77777777" w:rsidTr="000871D3">
        <w:trPr>
          <w:trHeight w:val="300"/>
        </w:trPr>
        <w:tc>
          <w:tcPr>
            <w:tcW w:w="3476" w:type="dxa"/>
            <w:tcBorders>
              <w:top w:val="nil"/>
              <w:left w:val="nil"/>
              <w:bottom w:val="nil"/>
              <w:right w:val="nil"/>
            </w:tcBorders>
            <w:noWrap/>
            <w:vAlign w:val="center"/>
            <w:hideMark/>
          </w:tcPr>
          <w:p w14:paraId="0A63A89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24345:2012</w:t>
            </w:r>
          </w:p>
        </w:tc>
        <w:tc>
          <w:tcPr>
            <w:tcW w:w="5596" w:type="dxa"/>
            <w:tcBorders>
              <w:top w:val="nil"/>
              <w:left w:val="nil"/>
              <w:bottom w:val="nil"/>
              <w:right w:val="nil"/>
            </w:tcBorders>
            <w:vAlign w:val="center"/>
            <w:hideMark/>
          </w:tcPr>
          <w:p w14:paraId="2C471B9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odporności na rozwarstwianie</w:t>
            </w:r>
          </w:p>
        </w:tc>
      </w:tr>
      <w:tr w:rsidR="000871D3" w:rsidRPr="000871D3" w14:paraId="4B060448" w14:textId="77777777" w:rsidTr="000871D3">
        <w:trPr>
          <w:trHeight w:val="300"/>
        </w:trPr>
        <w:tc>
          <w:tcPr>
            <w:tcW w:w="3476" w:type="dxa"/>
            <w:tcBorders>
              <w:top w:val="nil"/>
              <w:left w:val="nil"/>
              <w:bottom w:val="nil"/>
              <w:right w:val="nil"/>
            </w:tcBorders>
            <w:noWrap/>
            <w:vAlign w:val="center"/>
            <w:hideMark/>
          </w:tcPr>
          <w:p w14:paraId="27CC6B1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24346:2012</w:t>
            </w:r>
          </w:p>
        </w:tc>
        <w:tc>
          <w:tcPr>
            <w:tcW w:w="5596" w:type="dxa"/>
            <w:tcBorders>
              <w:top w:val="nil"/>
              <w:left w:val="nil"/>
              <w:bottom w:val="nil"/>
              <w:right w:val="nil"/>
            </w:tcBorders>
            <w:vAlign w:val="center"/>
            <w:hideMark/>
          </w:tcPr>
          <w:p w14:paraId="6834C21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grubości całkowitej</w:t>
            </w:r>
          </w:p>
        </w:tc>
      </w:tr>
      <w:tr w:rsidR="000871D3" w:rsidRPr="000871D3" w14:paraId="73E15DD0" w14:textId="77777777" w:rsidTr="000871D3">
        <w:trPr>
          <w:trHeight w:val="600"/>
        </w:trPr>
        <w:tc>
          <w:tcPr>
            <w:tcW w:w="3476" w:type="dxa"/>
            <w:tcBorders>
              <w:top w:val="nil"/>
              <w:left w:val="nil"/>
              <w:bottom w:val="nil"/>
              <w:right w:val="nil"/>
            </w:tcBorders>
            <w:noWrap/>
            <w:vAlign w:val="center"/>
            <w:hideMark/>
          </w:tcPr>
          <w:p w14:paraId="40DF0C8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26985:2012</w:t>
            </w:r>
          </w:p>
        </w:tc>
        <w:tc>
          <w:tcPr>
            <w:tcW w:w="5596" w:type="dxa"/>
            <w:tcBorders>
              <w:top w:val="nil"/>
              <w:left w:val="nil"/>
              <w:bottom w:val="nil"/>
              <w:right w:val="nil"/>
            </w:tcBorders>
            <w:vAlign w:val="center"/>
            <w:hideMark/>
          </w:tcPr>
          <w:p w14:paraId="47F0971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Identyfikacja linoleum i wyznaczanie zawartości spoiwa oraz pozostałości popiołu</w:t>
            </w:r>
          </w:p>
        </w:tc>
      </w:tr>
      <w:tr w:rsidR="000871D3" w:rsidRPr="000871D3" w14:paraId="0ABB5345" w14:textId="77777777" w:rsidTr="000871D3">
        <w:trPr>
          <w:trHeight w:val="600"/>
        </w:trPr>
        <w:tc>
          <w:tcPr>
            <w:tcW w:w="3476" w:type="dxa"/>
            <w:tcBorders>
              <w:top w:val="nil"/>
              <w:left w:val="nil"/>
              <w:bottom w:val="nil"/>
              <w:right w:val="nil"/>
            </w:tcBorders>
            <w:noWrap/>
            <w:vAlign w:val="center"/>
            <w:hideMark/>
          </w:tcPr>
          <w:p w14:paraId="27D8FC8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26986:2012</w:t>
            </w:r>
          </w:p>
        </w:tc>
        <w:tc>
          <w:tcPr>
            <w:tcW w:w="5596" w:type="dxa"/>
            <w:tcBorders>
              <w:top w:val="nil"/>
              <w:left w:val="nil"/>
              <w:bottom w:val="nil"/>
              <w:right w:val="nil"/>
            </w:tcBorders>
            <w:vAlign w:val="center"/>
            <w:hideMark/>
          </w:tcPr>
          <w:p w14:paraId="4A5DC78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Elastyczne pokrycia podłogowe - Spienione (amortyzujące) pokrycia podłogowe z </w:t>
            </w:r>
            <w:proofErr w:type="spellStart"/>
            <w:r w:rsidRPr="000871D3">
              <w:rPr>
                <w:rFonts w:eastAsia="Times New Roman" w:cs="Calibri"/>
                <w:color w:val="000000"/>
                <w:lang w:eastAsia="pl-PL"/>
              </w:rPr>
              <w:t>poli</w:t>
            </w:r>
            <w:proofErr w:type="spellEnd"/>
            <w:r w:rsidRPr="000871D3">
              <w:rPr>
                <w:rFonts w:eastAsia="Times New Roman" w:cs="Calibri"/>
                <w:color w:val="000000"/>
                <w:lang w:eastAsia="pl-PL"/>
              </w:rPr>
              <w:t>(chlorku winylu) - Specyfikacja</w:t>
            </w:r>
          </w:p>
        </w:tc>
      </w:tr>
      <w:tr w:rsidR="000871D3" w:rsidRPr="000871D3" w14:paraId="265A8419" w14:textId="77777777" w:rsidTr="000871D3">
        <w:trPr>
          <w:trHeight w:val="600"/>
        </w:trPr>
        <w:tc>
          <w:tcPr>
            <w:tcW w:w="3476" w:type="dxa"/>
            <w:tcBorders>
              <w:top w:val="nil"/>
              <w:left w:val="nil"/>
              <w:bottom w:val="nil"/>
              <w:right w:val="nil"/>
            </w:tcBorders>
            <w:noWrap/>
            <w:vAlign w:val="center"/>
            <w:hideMark/>
          </w:tcPr>
          <w:p w14:paraId="4F76226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ISO 26987:2012</w:t>
            </w:r>
          </w:p>
        </w:tc>
        <w:tc>
          <w:tcPr>
            <w:tcW w:w="5596" w:type="dxa"/>
            <w:tcBorders>
              <w:top w:val="nil"/>
              <w:left w:val="nil"/>
              <w:bottom w:val="nil"/>
              <w:right w:val="nil"/>
            </w:tcBorders>
            <w:vAlign w:val="center"/>
            <w:hideMark/>
          </w:tcPr>
          <w:p w14:paraId="0212CD4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Elastyczne pokrycia podłogowe - Wyznaczanie odporności na zabrudzenie i chemikalia</w:t>
            </w:r>
          </w:p>
        </w:tc>
      </w:tr>
      <w:tr w:rsidR="000871D3" w:rsidRPr="000871D3" w14:paraId="146593E3" w14:textId="77777777" w:rsidTr="000871D3">
        <w:trPr>
          <w:trHeight w:val="600"/>
        </w:trPr>
        <w:tc>
          <w:tcPr>
            <w:tcW w:w="3476" w:type="dxa"/>
            <w:tcBorders>
              <w:top w:val="nil"/>
              <w:left w:val="nil"/>
              <w:bottom w:val="nil"/>
              <w:right w:val="nil"/>
            </w:tcBorders>
            <w:noWrap/>
            <w:vAlign w:val="center"/>
            <w:hideMark/>
          </w:tcPr>
          <w:p w14:paraId="798A825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16954:2018-06</w:t>
            </w:r>
          </w:p>
        </w:tc>
        <w:tc>
          <w:tcPr>
            <w:tcW w:w="5596" w:type="dxa"/>
            <w:tcBorders>
              <w:top w:val="nil"/>
              <w:left w:val="nil"/>
              <w:bottom w:val="nil"/>
              <w:right w:val="nil"/>
            </w:tcBorders>
            <w:vAlign w:val="center"/>
            <w:hideMark/>
          </w:tcPr>
          <w:p w14:paraId="51B7D4A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Płyty i produkty cięte na wymiar do podłóg i schodów (wewnętrzne i zewnętrzne)</w:t>
            </w:r>
          </w:p>
        </w:tc>
      </w:tr>
      <w:tr w:rsidR="000871D3" w:rsidRPr="000871D3" w14:paraId="691527F6" w14:textId="77777777" w:rsidTr="000871D3">
        <w:trPr>
          <w:trHeight w:val="600"/>
        </w:trPr>
        <w:tc>
          <w:tcPr>
            <w:tcW w:w="3476" w:type="dxa"/>
            <w:tcBorders>
              <w:top w:val="nil"/>
              <w:left w:val="nil"/>
              <w:bottom w:val="nil"/>
              <w:right w:val="nil"/>
            </w:tcBorders>
            <w:noWrap/>
            <w:vAlign w:val="center"/>
            <w:hideMark/>
          </w:tcPr>
          <w:p w14:paraId="17E72C0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14617-13:2013-07</w:t>
            </w:r>
          </w:p>
        </w:tc>
        <w:tc>
          <w:tcPr>
            <w:tcW w:w="5596" w:type="dxa"/>
            <w:tcBorders>
              <w:top w:val="nil"/>
              <w:left w:val="nil"/>
              <w:bottom w:val="nil"/>
              <w:right w:val="nil"/>
            </w:tcBorders>
            <w:vAlign w:val="center"/>
            <w:hideMark/>
          </w:tcPr>
          <w:p w14:paraId="1A91DE98"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13: Oznaczanie rezystywności elektrycznej</w:t>
            </w:r>
          </w:p>
        </w:tc>
      </w:tr>
      <w:tr w:rsidR="000871D3" w:rsidRPr="000871D3" w14:paraId="6FC252E4" w14:textId="77777777" w:rsidTr="000871D3">
        <w:trPr>
          <w:trHeight w:val="600"/>
        </w:trPr>
        <w:tc>
          <w:tcPr>
            <w:tcW w:w="3476" w:type="dxa"/>
            <w:tcBorders>
              <w:top w:val="nil"/>
              <w:left w:val="nil"/>
              <w:bottom w:val="nil"/>
              <w:right w:val="nil"/>
            </w:tcBorders>
            <w:noWrap/>
            <w:vAlign w:val="center"/>
            <w:hideMark/>
          </w:tcPr>
          <w:p w14:paraId="6BAAF1C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14617-6:2012</w:t>
            </w:r>
          </w:p>
        </w:tc>
        <w:tc>
          <w:tcPr>
            <w:tcW w:w="5596" w:type="dxa"/>
            <w:tcBorders>
              <w:top w:val="nil"/>
              <w:left w:val="nil"/>
              <w:bottom w:val="nil"/>
              <w:right w:val="nil"/>
            </w:tcBorders>
            <w:vAlign w:val="center"/>
            <w:hideMark/>
          </w:tcPr>
          <w:p w14:paraId="180AC20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6: Oznaczanie odporności na szok termiczny</w:t>
            </w:r>
          </w:p>
        </w:tc>
      </w:tr>
      <w:tr w:rsidR="000871D3" w:rsidRPr="000871D3" w14:paraId="176908C3" w14:textId="77777777" w:rsidTr="000871D3">
        <w:trPr>
          <w:trHeight w:val="600"/>
        </w:trPr>
        <w:tc>
          <w:tcPr>
            <w:tcW w:w="3476" w:type="dxa"/>
            <w:tcBorders>
              <w:top w:val="nil"/>
              <w:left w:val="nil"/>
              <w:bottom w:val="nil"/>
              <w:right w:val="nil"/>
            </w:tcBorders>
            <w:noWrap/>
            <w:vAlign w:val="center"/>
            <w:hideMark/>
          </w:tcPr>
          <w:p w14:paraId="0CF2F88E"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14617-4:2012</w:t>
            </w:r>
          </w:p>
        </w:tc>
        <w:tc>
          <w:tcPr>
            <w:tcW w:w="5596" w:type="dxa"/>
            <w:tcBorders>
              <w:top w:val="nil"/>
              <w:left w:val="nil"/>
              <w:bottom w:val="nil"/>
              <w:right w:val="nil"/>
            </w:tcBorders>
            <w:vAlign w:val="center"/>
            <w:hideMark/>
          </w:tcPr>
          <w:p w14:paraId="60361FA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4: Oznaczanie odporności na ścieranie</w:t>
            </w:r>
          </w:p>
        </w:tc>
      </w:tr>
      <w:tr w:rsidR="000871D3" w:rsidRPr="000871D3" w14:paraId="31B2A4C1" w14:textId="77777777" w:rsidTr="000871D3">
        <w:trPr>
          <w:trHeight w:val="600"/>
        </w:trPr>
        <w:tc>
          <w:tcPr>
            <w:tcW w:w="3476" w:type="dxa"/>
            <w:tcBorders>
              <w:top w:val="nil"/>
              <w:left w:val="nil"/>
              <w:bottom w:val="nil"/>
              <w:right w:val="nil"/>
            </w:tcBorders>
            <w:noWrap/>
            <w:vAlign w:val="center"/>
            <w:hideMark/>
          </w:tcPr>
          <w:p w14:paraId="3381D21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14617-10:2012</w:t>
            </w:r>
          </w:p>
        </w:tc>
        <w:tc>
          <w:tcPr>
            <w:tcW w:w="5596" w:type="dxa"/>
            <w:tcBorders>
              <w:top w:val="nil"/>
              <w:left w:val="nil"/>
              <w:bottom w:val="nil"/>
              <w:right w:val="nil"/>
            </w:tcBorders>
            <w:vAlign w:val="center"/>
            <w:hideMark/>
          </w:tcPr>
          <w:p w14:paraId="1664BCF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10: Oznaczanie odporności chemicznej</w:t>
            </w:r>
          </w:p>
        </w:tc>
      </w:tr>
      <w:tr w:rsidR="000871D3" w:rsidRPr="000871D3" w14:paraId="488B28CD" w14:textId="77777777" w:rsidTr="000871D3">
        <w:trPr>
          <w:trHeight w:val="600"/>
        </w:trPr>
        <w:tc>
          <w:tcPr>
            <w:tcW w:w="3476" w:type="dxa"/>
            <w:tcBorders>
              <w:top w:val="nil"/>
              <w:left w:val="nil"/>
              <w:bottom w:val="nil"/>
              <w:right w:val="nil"/>
            </w:tcBorders>
            <w:noWrap/>
            <w:vAlign w:val="center"/>
            <w:hideMark/>
          </w:tcPr>
          <w:p w14:paraId="2D67431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14617-9:2010</w:t>
            </w:r>
          </w:p>
        </w:tc>
        <w:tc>
          <w:tcPr>
            <w:tcW w:w="5596" w:type="dxa"/>
            <w:tcBorders>
              <w:top w:val="nil"/>
              <w:left w:val="nil"/>
              <w:bottom w:val="nil"/>
              <w:right w:val="nil"/>
            </w:tcBorders>
            <w:vAlign w:val="center"/>
            <w:hideMark/>
          </w:tcPr>
          <w:p w14:paraId="6D85FEC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9: Oznaczanie odporności na uderzenie</w:t>
            </w:r>
          </w:p>
        </w:tc>
      </w:tr>
      <w:tr w:rsidR="000871D3" w:rsidRPr="000871D3" w14:paraId="221BB56F" w14:textId="77777777" w:rsidTr="000871D3">
        <w:trPr>
          <w:trHeight w:val="300"/>
        </w:trPr>
        <w:tc>
          <w:tcPr>
            <w:tcW w:w="3476" w:type="dxa"/>
            <w:tcBorders>
              <w:top w:val="nil"/>
              <w:left w:val="nil"/>
              <w:bottom w:val="nil"/>
              <w:right w:val="nil"/>
            </w:tcBorders>
            <w:noWrap/>
            <w:vAlign w:val="center"/>
            <w:hideMark/>
          </w:tcPr>
          <w:p w14:paraId="1DA90F8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14618:2009</w:t>
            </w:r>
          </w:p>
        </w:tc>
        <w:tc>
          <w:tcPr>
            <w:tcW w:w="5596" w:type="dxa"/>
            <w:tcBorders>
              <w:top w:val="nil"/>
              <w:left w:val="nil"/>
              <w:bottom w:val="nil"/>
              <w:right w:val="nil"/>
            </w:tcBorders>
            <w:vAlign w:val="center"/>
            <w:hideMark/>
          </w:tcPr>
          <w:p w14:paraId="79C5535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Terminologia i klasyfikacja</w:t>
            </w:r>
          </w:p>
        </w:tc>
      </w:tr>
      <w:tr w:rsidR="000871D3" w:rsidRPr="000871D3" w14:paraId="695CD86E" w14:textId="77777777" w:rsidTr="000871D3">
        <w:trPr>
          <w:trHeight w:val="600"/>
        </w:trPr>
        <w:tc>
          <w:tcPr>
            <w:tcW w:w="3476" w:type="dxa"/>
            <w:tcBorders>
              <w:top w:val="nil"/>
              <w:left w:val="nil"/>
              <w:bottom w:val="nil"/>
              <w:right w:val="nil"/>
            </w:tcBorders>
            <w:noWrap/>
            <w:vAlign w:val="center"/>
            <w:hideMark/>
          </w:tcPr>
          <w:p w14:paraId="1C0C220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14617-2:2016-07</w:t>
            </w:r>
          </w:p>
        </w:tc>
        <w:tc>
          <w:tcPr>
            <w:tcW w:w="5596" w:type="dxa"/>
            <w:tcBorders>
              <w:top w:val="nil"/>
              <w:left w:val="nil"/>
              <w:bottom w:val="nil"/>
              <w:right w:val="nil"/>
            </w:tcBorders>
            <w:vAlign w:val="center"/>
            <w:hideMark/>
          </w:tcPr>
          <w:p w14:paraId="1882B4C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2: Oznaczanie wytrzymałości na zginanie</w:t>
            </w:r>
          </w:p>
        </w:tc>
      </w:tr>
      <w:tr w:rsidR="000871D3" w:rsidRPr="000871D3" w14:paraId="2D8CD0C2" w14:textId="77777777" w:rsidTr="000871D3">
        <w:trPr>
          <w:trHeight w:val="600"/>
        </w:trPr>
        <w:tc>
          <w:tcPr>
            <w:tcW w:w="3476" w:type="dxa"/>
            <w:tcBorders>
              <w:top w:val="nil"/>
              <w:left w:val="nil"/>
              <w:bottom w:val="nil"/>
              <w:right w:val="nil"/>
            </w:tcBorders>
            <w:noWrap/>
            <w:vAlign w:val="center"/>
            <w:hideMark/>
          </w:tcPr>
          <w:p w14:paraId="29E7D405"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14617-1:2013-08</w:t>
            </w:r>
          </w:p>
        </w:tc>
        <w:tc>
          <w:tcPr>
            <w:tcW w:w="5596" w:type="dxa"/>
            <w:tcBorders>
              <w:top w:val="nil"/>
              <w:left w:val="nil"/>
              <w:bottom w:val="nil"/>
              <w:right w:val="nil"/>
            </w:tcBorders>
            <w:vAlign w:val="center"/>
            <w:hideMark/>
          </w:tcPr>
          <w:p w14:paraId="3DBD986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1: Oznaczanie gęstości objętościowej i nasiąkliwości</w:t>
            </w:r>
          </w:p>
        </w:tc>
      </w:tr>
      <w:tr w:rsidR="000871D3" w:rsidRPr="000871D3" w14:paraId="4B95B906" w14:textId="77777777" w:rsidTr="000871D3">
        <w:trPr>
          <w:trHeight w:val="600"/>
        </w:trPr>
        <w:tc>
          <w:tcPr>
            <w:tcW w:w="3476" w:type="dxa"/>
            <w:tcBorders>
              <w:top w:val="nil"/>
              <w:left w:val="nil"/>
              <w:bottom w:val="nil"/>
              <w:right w:val="nil"/>
            </w:tcBorders>
            <w:noWrap/>
            <w:vAlign w:val="center"/>
            <w:hideMark/>
          </w:tcPr>
          <w:p w14:paraId="0E31697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14617-5:2012</w:t>
            </w:r>
          </w:p>
        </w:tc>
        <w:tc>
          <w:tcPr>
            <w:tcW w:w="5596" w:type="dxa"/>
            <w:tcBorders>
              <w:top w:val="nil"/>
              <w:left w:val="nil"/>
              <w:bottom w:val="nil"/>
              <w:right w:val="nil"/>
            </w:tcBorders>
            <w:vAlign w:val="center"/>
            <w:hideMark/>
          </w:tcPr>
          <w:p w14:paraId="18A6A1B1"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5: Oznaczanie odporności na zamrażanie i rozmrażanie</w:t>
            </w:r>
          </w:p>
        </w:tc>
      </w:tr>
      <w:tr w:rsidR="000871D3" w:rsidRPr="000871D3" w14:paraId="23DBAB92" w14:textId="77777777" w:rsidTr="000871D3">
        <w:trPr>
          <w:trHeight w:val="600"/>
        </w:trPr>
        <w:tc>
          <w:tcPr>
            <w:tcW w:w="3476" w:type="dxa"/>
            <w:tcBorders>
              <w:top w:val="nil"/>
              <w:left w:val="nil"/>
              <w:bottom w:val="nil"/>
              <w:right w:val="nil"/>
            </w:tcBorders>
            <w:noWrap/>
            <w:vAlign w:val="center"/>
            <w:hideMark/>
          </w:tcPr>
          <w:p w14:paraId="49E7FE16"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14617-12:2012</w:t>
            </w:r>
          </w:p>
        </w:tc>
        <w:tc>
          <w:tcPr>
            <w:tcW w:w="5596" w:type="dxa"/>
            <w:tcBorders>
              <w:top w:val="nil"/>
              <w:left w:val="nil"/>
              <w:bottom w:val="nil"/>
              <w:right w:val="nil"/>
            </w:tcBorders>
            <w:vAlign w:val="center"/>
            <w:hideMark/>
          </w:tcPr>
          <w:p w14:paraId="640B62D7"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12: Oznaczanie stabilności wymiarów</w:t>
            </w:r>
          </w:p>
        </w:tc>
      </w:tr>
      <w:tr w:rsidR="000871D3" w:rsidRPr="000871D3" w14:paraId="27C51651" w14:textId="77777777" w:rsidTr="000871D3">
        <w:trPr>
          <w:trHeight w:val="600"/>
        </w:trPr>
        <w:tc>
          <w:tcPr>
            <w:tcW w:w="3476" w:type="dxa"/>
            <w:tcBorders>
              <w:top w:val="nil"/>
              <w:left w:val="nil"/>
              <w:bottom w:val="nil"/>
              <w:right w:val="nil"/>
            </w:tcBorders>
            <w:noWrap/>
            <w:vAlign w:val="center"/>
            <w:hideMark/>
          </w:tcPr>
          <w:p w14:paraId="3D51D53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14617-11:2010</w:t>
            </w:r>
          </w:p>
        </w:tc>
        <w:tc>
          <w:tcPr>
            <w:tcW w:w="5596" w:type="dxa"/>
            <w:tcBorders>
              <w:top w:val="nil"/>
              <w:left w:val="nil"/>
              <w:bottom w:val="nil"/>
              <w:right w:val="nil"/>
            </w:tcBorders>
            <w:vAlign w:val="center"/>
            <w:hideMark/>
          </w:tcPr>
          <w:p w14:paraId="076E266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11: Oznaczanie współczynnika liniowej rozszerzalności cieplnej</w:t>
            </w:r>
          </w:p>
        </w:tc>
      </w:tr>
      <w:tr w:rsidR="000871D3" w:rsidRPr="000871D3" w14:paraId="6D4DB21B" w14:textId="77777777" w:rsidTr="000871D3">
        <w:trPr>
          <w:trHeight w:val="600"/>
        </w:trPr>
        <w:tc>
          <w:tcPr>
            <w:tcW w:w="3476" w:type="dxa"/>
            <w:tcBorders>
              <w:top w:val="nil"/>
              <w:left w:val="nil"/>
              <w:bottom w:val="nil"/>
              <w:right w:val="nil"/>
            </w:tcBorders>
            <w:noWrap/>
            <w:vAlign w:val="center"/>
            <w:hideMark/>
          </w:tcPr>
          <w:p w14:paraId="4EF5D86C"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14617-16:2010</w:t>
            </w:r>
          </w:p>
        </w:tc>
        <w:tc>
          <w:tcPr>
            <w:tcW w:w="5596" w:type="dxa"/>
            <w:tcBorders>
              <w:top w:val="nil"/>
              <w:left w:val="nil"/>
              <w:bottom w:val="nil"/>
              <w:right w:val="nil"/>
            </w:tcBorders>
            <w:vAlign w:val="center"/>
            <w:hideMark/>
          </w:tcPr>
          <w:p w14:paraId="487C8D8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Metody badań - Część 16: Oznaczanie wymiarów, właściwości geometrycznych i jakości powierzchni płytek modułowych</w:t>
            </w:r>
          </w:p>
        </w:tc>
      </w:tr>
      <w:tr w:rsidR="000871D3" w:rsidRPr="000871D3" w14:paraId="2616DB56" w14:textId="77777777" w:rsidTr="000871D3">
        <w:trPr>
          <w:trHeight w:val="600"/>
        </w:trPr>
        <w:tc>
          <w:tcPr>
            <w:tcW w:w="3476" w:type="dxa"/>
            <w:tcBorders>
              <w:top w:val="nil"/>
              <w:left w:val="nil"/>
              <w:bottom w:val="nil"/>
              <w:right w:val="nil"/>
            </w:tcBorders>
            <w:noWrap/>
            <w:vAlign w:val="center"/>
            <w:hideMark/>
          </w:tcPr>
          <w:p w14:paraId="58B695A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15285:2011</w:t>
            </w:r>
          </w:p>
        </w:tc>
        <w:tc>
          <w:tcPr>
            <w:tcW w:w="5596" w:type="dxa"/>
            <w:tcBorders>
              <w:top w:val="nil"/>
              <w:left w:val="nil"/>
              <w:bottom w:val="nil"/>
              <w:right w:val="nil"/>
            </w:tcBorders>
            <w:vAlign w:val="center"/>
            <w:hideMark/>
          </w:tcPr>
          <w:p w14:paraId="6F979AB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Konglomeraty kamienne - Płyty modułowe posadzkowe i schodowe (wewnętrzne i zewnętrzne)</w:t>
            </w:r>
          </w:p>
        </w:tc>
      </w:tr>
      <w:tr w:rsidR="000871D3" w:rsidRPr="000871D3" w14:paraId="5BD36D59" w14:textId="77777777" w:rsidTr="000871D3">
        <w:trPr>
          <w:trHeight w:val="300"/>
        </w:trPr>
        <w:tc>
          <w:tcPr>
            <w:tcW w:w="3476" w:type="dxa"/>
            <w:tcBorders>
              <w:top w:val="nil"/>
              <w:left w:val="nil"/>
              <w:bottom w:val="nil"/>
              <w:right w:val="nil"/>
            </w:tcBorders>
            <w:noWrap/>
            <w:vAlign w:val="center"/>
            <w:hideMark/>
          </w:tcPr>
          <w:p w14:paraId="55E9341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12058:2015-04</w:t>
            </w:r>
          </w:p>
        </w:tc>
        <w:tc>
          <w:tcPr>
            <w:tcW w:w="5596" w:type="dxa"/>
            <w:tcBorders>
              <w:top w:val="nil"/>
              <w:left w:val="nil"/>
              <w:bottom w:val="nil"/>
              <w:right w:val="nil"/>
            </w:tcBorders>
            <w:vAlign w:val="center"/>
            <w:hideMark/>
          </w:tcPr>
          <w:p w14:paraId="6E80BCA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Wyroby z kamienia naturalnego - Płyty posadzkowe i schodowe - Wymagania</w:t>
            </w:r>
          </w:p>
        </w:tc>
      </w:tr>
      <w:tr w:rsidR="000871D3" w:rsidRPr="000871D3" w14:paraId="33EF9847" w14:textId="77777777" w:rsidTr="000871D3">
        <w:trPr>
          <w:trHeight w:val="300"/>
        </w:trPr>
        <w:tc>
          <w:tcPr>
            <w:tcW w:w="3476" w:type="dxa"/>
            <w:tcBorders>
              <w:top w:val="nil"/>
              <w:left w:val="nil"/>
              <w:bottom w:val="nil"/>
              <w:right w:val="nil"/>
            </w:tcBorders>
            <w:noWrap/>
            <w:vAlign w:val="center"/>
            <w:hideMark/>
          </w:tcPr>
          <w:p w14:paraId="5916DF33"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12670:2019-07</w:t>
            </w:r>
          </w:p>
        </w:tc>
        <w:tc>
          <w:tcPr>
            <w:tcW w:w="5596" w:type="dxa"/>
            <w:tcBorders>
              <w:top w:val="nil"/>
              <w:left w:val="nil"/>
              <w:bottom w:val="nil"/>
              <w:right w:val="nil"/>
            </w:tcBorders>
            <w:vAlign w:val="center"/>
            <w:hideMark/>
          </w:tcPr>
          <w:p w14:paraId="5D7D88A2"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Kamień naturalny - Terminologia</w:t>
            </w:r>
          </w:p>
        </w:tc>
      </w:tr>
      <w:tr w:rsidR="000871D3" w:rsidRPr="000871D3" w14:paraId="2089593C" w14:textId="77777777" w:rsidTr="000871D3">
        <w:trPr>
          <w:trHeight w:val="300"/>
        </w:trPr>
        <w:tc>
          <w:tcPr>
            <w:tcW w:w="3476" w:type="dxa"/>
            <w:tcBorders>
              <w:top w:val="nil"/>
              <w:left w:val="nil"/>
              <w:bottom w:val="nil"/>
              <w:right w:val="nil"/>
            </w:tcBorders>
            <w:noWrap/>
            <w:vAlign w:val="center"/>
            <w:hideMark/>
          </w:tcPr>
          <w:p w14:paraId="09B1A51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1469:2015-04</w:t>
            </w:r>
          </w:p>
        </w:tc>
        <w:tc>
          <w:tcPr>
            <w:tcW w:w="5596" w:type="dxa"/>
            <w:tcBorders>
              <w:top w:val="nil"/>
              <w:left w:val="nil"/>
              <w:bottom w:val="nil"/>
              <w:right w:val="nil"/>
            </w:tcBorders>
            <w:vAlign w:val="center"/>
            <w:hideMark/>
          </w:tcPr>
          <w:p w14:paraId="7F16961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 xml:space="preserve">Wyroby z kamienia naturalnego - Płyty okładzinowe - </w:t>
            </w:r>
            <w:r w:rsidRPr="000871D3">
              <w:rPr>
                <w:rFonts w:eastAsia="Times New Roman" w:cs="Calibri"/>
                <w:color w:val="000000"/>
                <w:lang w:eastAsia="pl-PL"/>
              </w:rPr>
              <w:lastRenderedPageBreak/>
              <w:t>Wymagania</w:t>
            </w:r>
          </w:p>
        </w:tc>
      </w:tr>
      <w:tr w:rsidR="000871D3" w:rsidRPr="000871D3" w14:paraId="6E1851A8" w14:textId="77777777" w:rsidTr="000871D3">
        <w:trPr>
          <w:trHeight w:val="600"/>
        </w:trPr>
        <w:tc>
          <w:tcPr>
            <w:tcW w:w="3476" w:type="dxa"/>
            <w:tcBorders>
              <w:top w:val="nil"/>
              <w:left w:val="nil"/>
              <w:bottom w:val="nil"/>
              <w:right w:val="nil"/>
            </w:tcBorders>
            <w:noWrap/>
            <w:vAlign w:val="center"/>
            <w:hideMark/>
          </w:tcPr>
          <w:p w14:paraId="50311AF4"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lastRenderedPageBreak/>
              <w:t>PN-EN 12059+A1:2012</w:t>
            </w:r>
          </w:p>
        </w:tc>
        <w:tc>
          <w:tcPr>
            <w:tcW w:w="5596" w:type="dxa"/>
            <w:tcBorders>
              <w:top w:val="nil"/>
              <w:left w:val="nil"/>
              <w:bottom w:val="nil"/>
              <w:right w:val="nil"/>
            </w:tcBorders>
            <w:vAlign w:val="center"/>
            <w:hideMark/>
          </w:tcPr>
          <w:p w14:paraId="06E3D969"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Wyroby z kamienia naturalnego - Wymiarowanie kamienia obrobionego - Wymagania</w:t>
            </w:r>
          </w:p>
        </w:tc>
      </w:tr>
      <w:tr w:rsidR="000871D3" w:rsidRPr="000871D3" w14:paraId="332E4DFD" w14:textId="77777777" w:rsidTr="000871D3">
        <w:trPr>
          <w:trHeight w:val="300"/>
        </w:trPr>
        <w:tc>
          <w:tcPr>
            <w:tcW w:w="3476" w:type="dxa"/>
            <w:tcBorders>
              <w:top w:val="nil"/>
              <w:left w:val="nil"/>
              <w:bottom w:val="nil"/>
              <w:right w:val="nil"/>
            </w:tcBorders>
            <w:noWrap/>
            <w:vAlign w:val="center"/>
            <w:hideMark/>
          </w:tcPr>
          <w:p w14:paraId="360182EF"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12057:2015-04</w:t>
            </w:r>
          </w:p>
        </w:tc>
        <w:tc>
          <w:tcPr>
            <w:tcW w:w="5596" w:type="dxa"/>
            <w:tcBorders>
              <w:top w:val="nil"/>
              <w:left w:val="nil"/>
              <w:bottom w:val="nil"/>
              <w:right w:val="nil"/>
            </w:tcBorders>
            <w:vAlign w:val="center"/>
            <w:hideMark/>
          </w:tcPr>
          <w:p w14:paraId="7308C9B0"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Wyroby z kamienia naturalnego - Płyty modułowe - Wymagania</w:t>
            </w:r>
          </w:p>
        </w:tc>
      </w:tr>
      <w:tr w:rsidR="000871D3" w:rsidRPr="000871D3" w14:paraId="03355A6F" w14:textId="77777777" w:rsidTr="000871D3">
        <w:trPr>
          <w:trHeight w:val="300"/>
        </w:trPr>
        <w:tc>
          <w:tcPr>
            <w:tcW w:w="3476" w:type="dxa"/>
            <w:tcBorders>
              <w:top w:val="nil"/>
              <w:left w:val="nil"/>
              <w:bottom w:val="nil"/>
              <w:right w:val="nil"/>
            </w:tcBorders>
            <w:noWrap/>
            <w:vAlign w:val="center"/>
            <w:hideMark/>
          </w:tcPr>
          <w:p w14:paraId="1272AFDD"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1468:2012</w:t>
            </w:r>
          </w:p>
        </w:tc>
        <w:tc>
          <w:tcPr>
            <w:tcW w:w="5596" w:type="dxa"/>
            <w:tcBorders>
              <w:top w:val="nil"/>
              <w:left w:val="nil"/>
              <w:bottom w:val="nil"/>
              <w:right w:val="nil"/>
            </w:tcBorders>
            <w:vAlign w:val="center"/>
            <w:hideMark/>
          </w:tcPr>
          <w:p w14:paraId="54D179A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Kamień naturalny - Płyty surowe - Wymagania</w:t>
            </w:r>
          </w:p>
        </w:tc>
      </w:tr>
      <w:tr w:rsidR="000871D3" w:rsidRPr="000871D3" w14:paraId="19FCD5DA" w14:textId="77777777" w:rsidTr="000871D3">
        <w:trPr>
          <w:trHeight w:val="300"/>
        </w:trPr>
        <w:tc>
          <w:tcPr>
            <w:tcW w:w="3476" w:type="dxa"/>
            <w:tcBorders>
              <w:top w:val="nil"/>
              <w:left w:val="nil"/>
              <w:bottom w:val="nil"/>
              <w:right w:val="nil"/>
            </w:tcBorders>
            <w:noWrap/>
            <w:vAlign w:val="center"/>
            <w:hideMark/>
          </w:tcPr>
          <w:p w14:paraId="30DB087A"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PN-EN 12440:2017-11</w:t>
            </w:r>
          </w:p>
        </w:tc>
        <w:tc>
          <w:tcPr>
            <w:tcW w:w="5596" w:type="dxa"/>
            <w:tcBorders>
              <w:top w:val="nil"/>
              <w:left w:val="nil"/>
              <w:bottom w:val="nil"/>
              <w:right w:val="nil"/>
            </w:tcBorders>
            <w:vAlign w:val="center"/>
            <w:hideMark/>
          </w:tcPr>
          <w:p w14:paraId="5DE0F3FB" w14:textId="77777777" w:rsidR="000871D3" w:rsidRPr="000871D3" w:rsidRDefault="000871D3" w:rsidP="000871D3">
            <w:pPr>
              <w:spacing w:after="0" w:line="240" w:lineRule="auto"/>
              <w:rPr>
                <w:rFonts w:eastAsia="Times New Roman" w:cs="Calibri"/>
                <w:color w:val="000000"/>
                <w:lang w:eastAsia="pl-PL"/>
              </w:rPr>
            </w:pPr>
            <w:r w:rsidRPr="000871D3">
              <w:rPr>
                <w:rFonts w:eastAsia="Times New Roman" w:cs="Calibri"/>
                <w:color w:val="000000"/>
                <w:lang w:eastAsia="pl-PL"/>
              </w:rPr>
              <w:t>Kamień naturalny - Kryteria mianownictwa</w:t>
            </w:r>
          </w:p>
        </w:tc>
      </w:tr>
    </w:tbl>
    <w:p w14:paraId="549F41A1" w14:textId="77777777" w:rsidR="000871D3" w:rsidRDefault="000871D3" w:rsidP="00BE6386">
      <w:pPr>
        <w:spacing w:after="0"/>
        <w:jc w:val="both"/>
        <w:rPr>
          <w:rFonts w:cs="Calibri"/>
          <w:bCs/>
        </w:rPr>
      </w:pPr>
    </w:p>
    <w:p w14:paraId="2039F1A1" w14:textId="3B7A0F07" w:rsidR="00BE6386" w:rsidRDefault="000871D3" w:rsidP="00BE6386">
      <w:pPr>
        <w:spacing w:after="0"/>
        <w:jc w:val="both"/>
        <w:rPr>
          <w:rFonts w:cs="Calibri"/>
          <w:bCs/>
        </w:rPr>
      </w:pPr>
      <w:r>
        <w:rPr>
          <w:rFonts w:cs="Calibri"/>
          <w:bCs/>
        </w:rPr>
        <w:t>Ś</w:t>
      </w:r>
      <w:r w:rsidR="00BE6386" w:rsidRPr="00BE6386">
        <w:rPr>
          <w:rFonts w:cs="Calibri"/>
          <w:bCs/>
        </w:rPr>
        <w:t>wiadectwa dopuszczenia ITB, atesty PZH dla poszczególnych wyrobów</w:t>
      </w:r>
    </w:p>
    <w:p w14:paraId="69F78022" w14:textId="77777777" w:rsidR="00E35FC6" w:rsidRDefault="00E35FC6" w:rsidP="00E35FC6">
      <w:pPr>
        <w:spacing w:after="0"/>
        <w:jc w:val="both"/>
        <w:rPr>
          <w:rFonts w:cs="Calibri"/>
          <w:bCs/>
        </w:rPr>
      </w:pPr>
    </w:p>
    <w:p w14:paraId="56FB7F9A" w14:textId="77777777" w:rsidR="00C13037" w:rsidRPr="00307154" w:rsidRDefault="00C13037" w:rsidP="00C13037">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14:paraId="095B1C54" w14:textId="77777777" w:rsidR="00C13037" w:rsidRPr="00307154" w:rsidRDefault="00C13037" w:rsidP="00C13037">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p w14:paraId="075A6CC7" w14:textId="77777777" w:rsidR="0054386D" w:rsidRDefault="0054386D" w:rsidP="00AC274D">
      <w:pPr>
        <w:spacing w:after="0"/>
        <w:jc w:val="both"/>
        <w:rPr>
          <w:rFonts w:cs="Calibri"/>
          <w:bCs/>
        </w:rPr>
      </w:pPr>
    </w:p>
    <w:sectPr w:rsidR="0054386D" w:rsidSect="00FC71E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CA780" w14:textId="77777777" w:rsidR="00E300CF" w:rsidRDefault="00E300CF" w:rsidP="00655659">
      <w:pPr>
        <w:spacing w:after="0" w:line="240" w:lineRule="auto"/>
      </w:pPr>
      <w:r>
        <w:separator/>
      </w:r>
    </w:p>
  </w:endnote>
  <w:endnote w:type="continuationSeparator" w:id="0">
    <w:p w14:paraId="3D3BD4C5" w14:textId="77777777" w:rsidR="00E300CF" w:rsidRDefault="00E300CF"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72BB1" w14:textId="77777777" w:rsidR="00B60158" w:rsidRDefault="00B6015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9FB98" w14:textId="2480BBEA" w:rsidR="007C57D7" w:rsidRPr="00B42AED" w:rsidRDefault="007C57D7"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00F3789A" w:rsidRPr="00B42AED">
      <w:rPr>
        <w:sz w:val="18"/>
        <w:szCs w:val="18"/>
      </w:rPr>
      <w:fldChar w:fldCharType="begin"/>
    </w:r>
    <w:r w:rsidRPr="00B42AED">
      <w:rPr>
        <w:sz w:val="18"/>
        <w:szCs w:val="18"/>
      </w:rPr>
      <w:instrText xml:space="preserve"> PAGE   \* MERGEFORMAT </w:instrText>
    </w:r>
    <w:r w:rsidR="00F3789A" w:rsidRPr="00B42AED">
      <w:rPr>
        <w:sz w:val="18"/>
        <w:szCs w:val="18"/>
      </w:rPr>
      <w:fldChar w:fldCharType="separate"/>
    </w:r>
    <w:r w:rsidR="00CA279B">
      <w:rPr>
        <w:noProof/>
        <w:sz w:val="18"/>
        <w:szCs w:val="18"/>
      </w:rPr>
      <w:t>12</w:t>
    </w:r>
    <w:r w:rsidR="00F3789A" w:rsidRPr="00B42AED">
      <w:rPr>
        <w:sz w:val="18"/>
        <w:szCs w:val="18"/>
      </w:rPr>
      <w:fldChar w:fldCharType="end"/>
    </w:r>
  </w:p>
  <w:p w14:paraId="4855E2A4" w14:textId="6D0A7674" w:rsidR="007C57D7" w:rsidRPr="00B42AED" w:rsidRDefault="00EE2956" w:rsidP="0093693B">
    <w:pPr>
      <w:pStyle w:val="Stopka"/>
      <w:rPr>
        <w:sz w:val="18"/>
        <w:szCs w:val="18"/>
      </w:rPr>
    </w:pPr>
    <w:r>
      <w:rPr>
        <w:bCs/>
        <w:sz w:val="18"/>
        <w:szCs w:val="18"/>
      </w:rPr>
      <w:t>Posadzki</w:t>
    </w:r>
    <w:r w:rsidR="00005E74">
      <w:rPr>
        <w:bCs/>
        <w:sz w:val="18"/>
        <w:szCs w:val="18"/>
      </w:rPr>
      <w:t xml:space="preserve"> – </w:t>
    </w:r>
    <w:r w:rsidRPr="00EE2956">
      <w:rPr>
        <w:bCs/>
        <w:sz w:val="18"/>
        <w:szCs w:val="18"/>
      </w:rPr>
      <w:t>B.0</w:t>
    </w:r>
    <w:r w:rsidR="00B60158">
      <w:rPr>
        <w:bCs/>
        <w:sz w:val="18"/>
        <w:szCs w:val="18"/>
      </w:rPr>
      <w:t>3</w:t>
    </w:r>
    <w:r w:rsidRPr="00EE2956">
      <w:rPr>
        <w:bCs/>
        <w:sz w:val="18"/>
        <w:szCs w:val="18"/>
      </w:rPr>
      <w:t>.00.00</w:t>
    </w:r>
    <w:r w:rsidR="007C57D7" w:rsidRPr="00B42AED">
      <w:rPr>
        <w:bCs/>
        <w:sz w:val="18"/>
        <w:szCs w:val="18"/>
      </w:rPr>
      <w:tab/>
    </w:r>
    <w:r w:rsidR="007C57D7" w:rsidRPr="00B42AED">
      <w:rPr>
        <w:bCs/>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94DE" w14:textId="77777777" w:rsidR="00B60158" w:rsidRDefault="00B601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2F947" w14:textId="77777777" w:rsidR="00E300CF" w:rsidRDefault="00E300CF" w:rsidP="00655659">
      <w:pPr>
        <w:spacing w:after="0" w:line="240" w:lineRule="auto"/>
      </w:pPr>
      <w:r>
        <w:separator/>
      </w:r>
    </w:p>
  </w:footnote>
  <w:footnote w:type="continuationSeparator" w:id="0">
    <w:p w14:paraId="7FEBCDC3" w14:textId="77777777" w:rsidR="00E300CF" w:rsidRDefault="00E300CF" w:rsidP="00655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A498D" w14:textId="77777777" w:rsidR="00B60158" w:rsidRDefault="00B6015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BC1D5" w14:textId="77777777" w:rsidR="00B60158" w:rsidRDefault="00B6015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5B4E" w14:textId="77777777" w:rsidR="00B60158" w:rsidRDefault="00B601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01E"/>
    <w:multiLevelType w:val="hybridMultilevel"/>
    <w:tmpl w:val="03C63E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724534"/>
    <w:multiLevelType w:val="hybridMultilevel"/>
    <w:tmpl w:val="26E6B63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 w15:restartNumberingAfterBreak="0">
    <w:nsid w:val="0D313DC3"/>
    <w:multiLevelType w:val="hybridMultilevel"/>
    <w:tmpl w:val="20A6C8E6"/>
    <w:lvl w:ilvl="0" w:tplc="76E492E4">
      <w:start w:val="1"/>
      <w:numFmt w:val="bullet"/>
      <w:lvlText w:val=""/>
      <w:lvlJc w:val="left"/>
      <w:pPr>
        <w:tabs>
          <w:tab w:val="num" w:pos="720"/>
        </w:tabs>
        <w:ind w:left="720" w:hanging="360"/>
      </w:pPr>
      <w:rPr>
        <w:rFonts w:ascii="Symbol" w:hAnsi="Symbol" w:hint="default"/>
        <w:sz w:val="20"/>
      </w:rPr>
    </w:lvl>
    <w:lvl w:ilvl="1" w:tplc="F7DAEBF8">
      <w:start w:val="2"/>
      <w:numFmt w:val="bullet"/>
      <w:lvlText w:val="-"/>
      <w:lvlJc w:val="left"/>
      <w:pPr>
        <w:tabs>
          <w:tab w:val="num" w:pos="1440"/>
        </w:tabs>
        <w:ind w:left="1440" w:hanging="360"/>
      </w:pPr>
      <w:rPr>
        <w:rFonts w:ascii="Times New Roman" w:eastAsia="Times New Roman" w:hAnsi="Times New Roman" w:cs="Times New Roman" w:hint="default"/>
        <w:sz w:val="20"/>
      </w:rPr>
    </w:lvl>
    <w:lvl w:ilvl="2" w:tplc="D4E8666C">
      <w:numFmt w:val="bullet"/>
      <w:lvlText w:val="—"/>
      <w:lvlJc w:val="left"/>
      <w:pPr>
        <w:tabs>
          <w:tab w:val="num" w:pos="2160"/>
        </w:tabs>
        <w:ind w:left="2160" w:hanging="360"/>
      </w:pPr>
      <w:rPr>
        <w:rFonts w:ascii="Times New Roman" w:eastAsia="Times New Roman" w:hAnsi="Times New Roman" w:cs="Times New Roman" w:hint="default"/>
      </w:rPr>
    </w:lvl>
    <w:lvl w:ilvl="3" w:tplc="468846A4">
      <w:start w:val="2"/>
      <w:numFmt w:val="bullet"/>
      <w:lvlText w:val="–"/>
      <w:lvlJc w:val="left"/>
      <w:pPr>
        <w:tabs>
          <w:tab w:val="num" w:pos="3135"/>
        </w:tabs>
        <w:ind w:left="3135" w:hanging="615"/>
      </w:pPr>
      <w:rPr>
        <w:rFonts w:ascii="Times New Roman" w:eastAsia="Times New Roman" w:hAnsi="Times New Roman" w:cs="Times New Roman" w:hint="default"/>
      </w:rPr>
    </w:lvl>
    <w:lvl w:ilvl="4" w:tplc="A6300050" w:tentative="1">
      <w:start w:val="1"/>
      <w:numFmt w:val="bullet"/>
      <w:lvlText w:val=""/>
      <w:lvlJc w:val="left"/>
      <w:pPr>
        <w:tabs>
          <w:tab w:val="num" w:pos="3600"/>
        </w:tabs>
        <w:ind w:left="3600" w:hanging="360"/>
      </w:pPr>
      <w:rPr>
        <w:rFonts w:ascii="Wingdings" w:hAnsi="Wingdings" w:hint="default"/>
        <w:sz w:val="20"/>
      </w:rPr>
    </w:lvl>
    <w:lvl w:ilvl="5" w:tplc="39A4C8C6" w:tentative="1">
      <w:start w:val="1"/>
      <w:numFmt w:val="bullet"/>
      <w:lvlText w:val=""/>
      <w:lvlJc w:val="left"/>
      <w:pPr>
        <w:tabs>
          <w:tab w:val="num" w:pos="4320"/>
        </w:tabs>
        <w:ind w:left="4320" w:hanging="360"/>
      </w:pPr>
      <w:rPr>
        <w:rFonts w:ascii="Wingdings" w:hAnsi="Wingdings" w:hint="default"/>
        <w:sz w:val="20"/>
      </w:rPr>
    </w:lvl>
    <w:lvl w:ilvl="6" w:tplc="0E0E6D96" w:tentative="1">
      <w:start w:val="1"/>
      <w:numFmt w:val="bullet"/>
      <w:lvlText w:val=""/>
      <w:lvlJc w:val="left"/>
      <w:pPr>
        <w:tabs>
          <w:tab w:val="num" w:pos="5040"/>
        </w:tabs>
        <w:ind w:left="5040" w:hanging="360"/>
      </w:pPr>
      <w:rPr>
        <w:rFonts w:ascii="Wingdings" w:hAnsi="Wingdings" w:hint="default"/>
        <w:sz w:val="20"/>
      </w:rPr>
    </w:lvl>
    <w:lvl w:ilvl="7" w:tplc="A5F431BC" w:tentative="1">
      <w:start w:val="1"/>
      <w:numFmt w:val="bullet"/>
      <w:lvlText w:val=""/>
      <w:lvlJc w:val="left"/>
      <w:pPr>
        <w:tabs>
          <w:tab w:val="num" w:pos="5760"/>
        </w:tabs>
        <w:ind w:left="5760" w:hanging="360"/>
      </w:pPr>
      <w:rPr>
        <w:rFonts w:ascii="Wingdings" w:hAnsi="Wingdings" w:hint="default"/>
        <w:sz w:val="20"/>
      </w:rPr>
    </w:lvl>
    <w:lvl w:ilvl="8" w:tplc="44A4C7F2"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147867"/>
    <w:multiLevelType w:val="hybridMultilevel"/>
    <w:tmpl w:val="6AF6FD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BE64926"/>
    <w:multiLevelType w:val="hybridMultilevel"/>
    <w:tmpl w:val="08D29E66"/>
    <w:lvl w:ilvl="0" w:tplc="04150001">
      <w:start w:val="1"/>
      <w:numFmt w:val="bullet"/>
      <w:lvlText w:val=""/>
      <w:lvlJc w:val="left"/>
      <w:pPr>
        <w:ind w:left="1069" w:hanging="360"/>
      </w:pPr>
      <w:rPr>
        <w:rFonts w:ascii="Symbol" w:hAnsi="Symbol" w:hint="default"/>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6" w15:restartNumberingAfterBreak="0">
    <w:nsid w:val="35954B6C"/>
    <w:multiLevelType w:val="multilevel"/>
    <w:tmpl w:val="5762C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B40DD9"/>
    <w:multiLevelType w:val="hybridMultilevel"/>
    <w:tmpl w:val="C4546AF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45CE40C7"/>
    <w:multiLevelType w:val="hybridMultilevel"/>
    <w:tmpl w:val="AE4AF8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B6C432B"/>
    <w:multiLevelType w:val="hybridMultilevel"/>
    <w:tmpl w:val="90A8F7B0"/>
    <w:lvl w:ilvl="0" w:tplc="21DA2B2C">
      <w:start w:val="1"/>
      <w:numFmt w:val="bullet"/>
      <w:lvlText w:val="-"/>
      <w:lvlJc w:val="left"/>
      <w:pPr>
        <w:tabs>
          <w:tab w:val="num" w:pos="1065"/>
        </w:tabs>
        <w:ind w:left="1065" w:hanging="705"/>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1922CE"/>
    <w:multiLevelType w:val="hybridMultilevel"/>
    <w:tmpl w:val="4964117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F630AD"/>
    <w:multiLevelType w:val="hybridMultilevel"/>
    <w:tmpl w:val="F5B0E8D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680C72DE"/>
    <w:multiLevelType w:val="hybridMultilevel"/>
    <w:tmpl w:val="01BCCC42"/>
    <w:lvl w:ilvl="0" w:tplc="04150001">
      <w:start w:val="1"/>
      <w:numFmt w:val="bullet"/>
      <w:lvlText w:val=""/>
      <w:lvlJc w:val="left"/>
      <w:pPr>
        <w:ind w:left="1069" w:hanging="360"/>
      </w:pPr>
      <w:rPr>
        <w:rFonts w:ascii="Symbol" w:hAnsi="Symbol" w:hint="default"/>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4" w15:restartNumberingAfterBreak="0">
    <w:nsid w:val="71F761C6"/>
    <w:multiLevelType w:val="hybridMultilevel"/>
    <w:tmpl w:val="5EF8BB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38754901">
    <w:abstractNumId w:val="7"/>
  </w:num>
  <w:num w:numId="2" w16cid:durableId="524832812">
    <w:abstractNumId w:val="4"/>
  </w:num>
  <w:num w:numId="3" w16cid:durableId="1251156333">
    <w:abstractNumId w:val="3"/>
  </w:num>
  <w:num w:numId="4" w16cid:durableId="1124156246">
    <w:abstractNumId w:val="0"/>
  </w:num>
  <w:num w:numId="5" w16cid:durableId="480122996">
    <w:abstractNumId w:val="9"/>
  </w:num>
  <w:num w:numId="6" w16cid:durableId="915865804">
    <w:abstractNumId w:val="13"/>
  </w:num>
  <w:num w:numId="7" w16cid:durableId="221524261">
    <w:abstractNumId w:val="11"/>
  </w:num>
  <w:num w:numId="8" w16cid:durableId="1430347012">
    <w:abstractNumId w:val="10"/>
  </w:num>
  <w:num w:numId="9" w16cid:durableId="10375833">
    <w:abstractNumId w:val="1"/>
  </w:num>
  <w:num w:numId="10" w16cid:durableId="2140686295">
    <w:abstractNumId w:val="5"/>
  </w:num>
  <w:num w:numId="11" w16cid:durableId="102574859">
    <w:abstractNumId w:val="12"/>
  </w:num>
  <w:num w:numId="12" w16cid:durableId="486409369">
    <w:abstractNumId w:val="6"/>
  </w:num>
  <w:num w:numId="13" w16cid:durableId="1214849089">
    <w:abstractNumId w:val="8"/>
  </w:num>
  <w:num w:numId="14" w16cid:durableId="1025792079">
    <w:abstractNumId w:val="2"/>
  </w:num>
  <w:num w:numId="15" w16cid:durableId="31846476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310"/>
    <w:rsid w:val="00001B21"/>
    <w:rsid w:val="000047B5"/>
    <w:rsid w:val="00005E74"/>
    <w:rsid w:val="00006CBD"/>
    <w:rsid w:val="00011601"/>
    <w:rsid w:val="00015BB4"/>
    <w:rsid w:val="00024DCD"/>
    <w:rsid w:val="00033BC0"/>
    <w:rsid w:val="00045E3D"/>
    <w:rsid w:val="00063B9E"/>
    <w:rsid w:val="00064CF3"/>
    <w:rsid w:val="00067CEB"/>
    <w:rsid w:val="00070D32"/>
    <w:rsid w:val="00076408"/>
    <w:rsid w:val="00076E18"/>
    <w:rsid w:val="00085F68"/>
    <w:rsid w:val="000871D3"/>
    <w:rsid w:val="0009176E"/>
    <w:rsid w:val="00094858"/>
    <w:rsid w:val="000A0FE2"/>
    <w:rsid w:val="000A1C81"/>
    <w:rsid w:val="000A3FBB"/>
    <w:rsid w:val="000A4F79"/>
    <w:rsid w:val="000A5188"/>
    <w:rsid w:val="000B0D46"/>
    <w:rsid w:val="000B263F"/>
    <w:rsid w:val="000B32B3"/>
    <w:rsid w:val="000B76CC"/>
    <w:rsid w:val="000C1DBF"/>
    <w:rsid w:val="000C352D"/>
    <w:rsid w:val="000C3758"/>
    <w:rsid w:val="000C5CF1"/>
    <w:rsid w:val="000C5D0A"/>
    <w:rsid w:val="000C7AA1"/>
    <w:rsid w:val="000D0D11"/>
    <w:rsid w:val="000E4CD4"/>
    <w:rsid w:val="000E6DD6"/>
    <w:rsid w:val="000F6455"/>
    <w:rsid w:val="0010295D"/>
    <w:rsid w:val="00105B9B"/>
    <w:rsid w:val="0011454E"/>
    <w:rsid w:val="001158A0"/>
    <w:rsid w:val="00115F95"/>
    <w:rsid w:val="001253DD"/>
    <w:rsid w:val="00142D53"/>
    <w:rsid w:val="001441FB"/>
    <w:rsid w:val="00144290"/>
    <w:rsid w:val="00151F79"/>
    <w:rsid w:val="00153C8F"/>
    <w:rsid w:val="00153D8B"/>
    <w:rsid w:val="00155182"/>
    <w:rsid w:val="00157EAC"/>
    <w:rsid w:val="001600BE"/>
    <w:rsid w:val="0016499A"/>
    <w:rsid w:val="00166E03"/>
    <w:rsid w:val="00177C7F"/>
    <w:rsid w:val="0018255C"/>
    <w:rsid w:val="0018283C"/>
    <w:rsid w:val="00186C34"/>
    <w:rsid w:val="001A22F9"/>
    <w:rsid w:val="001A28D3"/>
    <w:rsid w:val="001A297A"/>
    <w:rsid w:val="001A6F1D"/>
    <w:rsid w:val="001B1FFC"/>
    <w:rsid w:val="001C6037"/>
    <w:rsid w:val="001C7CA9"/>
    <w:rsid w:val="001D248A"/>
    <w:rsid w:val="001D704A"/>
    <w:rsid w:val="001E14DA"/>
    <w:rsid w:val="001E1865"/>
    <w:rsid w:val="001E591E"/>
    <w:rsid w:val="001E7B08"/>
    <w:rsid w:val="001F19D5"/>
    <w:rsid w:val="001F5097"/>
    <w:rsid w:val="001F7DD5"/>
    <w:rsid w:val="002001B8"/>
    <w:rsid w:val="00200C44"/>
    <w:rsid w:val="00211062"/>
    <w:rsid w:val="002141C5"/>
    <w:rsid w:val="002171BD"/>
    <w:rsid w:val="002204B0"/>
    <w:rsid w:val="00233F30"/>
    <w:rsid w:val="00247FB3"/>
    <w:rsid w:val="00253B02"/>
    <w:rsid w:val="00254D74"/>
    <w:rsid w:val="00257EC7"/>
    <w:rsid w:val="0026046B"/>
    <w:rsid w:val="00265BFC"/>
    <w:rsid w:val="00267910"/>
    <w:rsid w:val="00267B27"/>
    <w:rsid w:val="00285AD6"/>
    <w:rsid w:val="0029056C"/>
    <w:rsid w:val="002A0AD7"/>
    <w:rsid w:val="002A184F"/>
    <w:rsid w:val="002A2135"/>
    <w:rsid w:val="002A544F"/>
    <w:rsid w:val="002B0681"/>
    <w:rsid w:val="002C07FA"/>
    <w:rsid w:val="002C1D4C"/>
    <w:rsid w:val="002C5584"/>
    <w:rsid w:val="002C590A"/>
    <w:rsid w:val="002C7102"/>
    <w:rsid w:val="002D47C9"/>
    <w:rsid w:val="002E0EFE"/>
    <w:rsid w:val="002E392C"/>
    <w:rsid w:val="00300DDF"/>
    <w:rsid w:val="00301997"/>
    <w:rsid w:val="003070F5"/>
    <w:rsid w:val="00307154"/>
    <w:rsid w:val="00317EC9"/>
    <w:rsid w:val="00320B26"/>
    <w:rsid w:val="003237D3"/>
    <w:rsid w:val="00330ABC"/>
    <w:rsid w:val="00331942"/>
    <w:rsid w:val="0033371B"/>
    <w:rsid w:val="003416AB"/>
    <w:rsid w:val="00345BA9"/>
    <w:rsid w:val="00350286"/>
    <w:rsid w:val="00370EA7"/>
    <w:rsid w:val="003934A4"/>
    <w:rsid w:val="003972AF"/>
    <w:rsid w:val="003A0966"/>
    <w:rsid w:val="003B1963"/>
    <w:rsid w:val="003C097C"/>
    <w:rsid w:val="003C7F45"/>
    <w:rsid w:val="003E718D"/>
    <w:rsid w:val="003F288C"/>
    <w:rsid w:val="003F465D"/>
    <w:rsid w:val="00404392"/>
    <w:rsid w:val="0040464E"/>
    <w:rsid w:val="00405DC4"/>
    <w:rsid w:val="00411154"/>
    <w:rsid w:val="0041493E"/>
    <w:rsid w:val="00417CD5"/>
    <w:rsid w:val="0042462C"/>
    <w:rsid w:val="00442373"/>
    <w:rsid w:val="0045733E"/>
    <w:rsid w:val="0046730B"/>
    <w:rsid w:val="00472C91"/>
    <w:rsid w:val="0047322C"/>
    <w:rsid w:val="00473BD8"/>
    <w:rsid w:val="00481EC2"/>
    <w:rsid w:val="00487D2B"/>
    <w:rsid w:val="0049630E"/>
    <w:rsid w:val="0049797D"/>
    <w:rsid w:val="004A5B05"/>
    <w:rsid w:val="004B48D7"/>
    <w:rsid w:val="004C4E7E"/>
    <w:rsid w:val="005021CA"/>
    <w:rsid w:val="00515449"/>
    <w:rsid w:val="005244C2"/>
    <w:rsid w:val="00526E4A"/>
    <w:rsid w:val="0053059A"/>
    <w:rsid w:val="005309F8"/>
    <w:rsid w:val="00535676"/>
    <w:rsid w:val="00541C93"/>
    <w:rsid w:val="0054386D"/>
    <w:rsid w:val="00545538"/>
    <w:rsid w:val="00546D49"/>
    <w:rsid w:val="00547B49"/>
    <w:rsid w:val="00547DC4"/>
    <w:rsid w:val="005516F8"/>
    <w:rsid w:val="005530D2"/>
    <w:rsid w:val="00553614"/>
    <w:rsid w:val="00554265"/>
    <w:rsid w:val="00554BB6"/>
    <w:rsid w:val="005730FB"/>
    <w:rsid w:val="005736CA"/>
    <w:rsid w:val="00590204"/>
    <w:rsid w:val="005928AF"/>
    <w:rsid w:val="005A39FF"/>
    <w:rsid w:val="005B457C"/>
    <w:rsid w:val="005B6DF4"/>
    <w:rsid w:val="005D7E9B"/>
    <w:rsid w:val="005E03FC"/>
    <w:rsid w:val="005E3A0F"/>
    <w:rsid w:val="005E42DA"/>
    <w:rsid w:val="005E66F6"/>
    <w:rsid w:val="005E7A61"/>
    <w:rsid w:val="005E7EE0"/>
    <w:rsid w:val="005F0497"/>
    <w:rsid w:val="005F7645"/>
    <w:rsid w:val="00605036"/>
    <w:rsid w:val="00607BD9"/>
    <w:rsid w:val="00615A75"/>
    <w:rsid w:val="006171E4"/>
    <w:rsid w:val="00621EF2"/>
    <w:rsid w:val="006246A1"/>
    <w:rsid w:val="00625028"/>
    <w:rsid w:val="0063023F"/>
    <w:rsid w:val="00635A4A"/>
    <w:rsid w:val="00651557"/>
    <w:rsid w:val="006522D7"/>
    <w:rsid w:val="0065513D"/>
    <w:rsid w:val="00655659"/>
    <w:rsid w:val="00656376"/>
    <w:rsid w:val="00662986"/>
    <w:rsid w:val="00682F4F"/>
    <w:rsid w:val="00683F5A"/>
    <w:rsid w:val="00684BDD"/>
    <w:rsid w:val="006924D2"/>
    <w:rsid w:val="006A3F97"/>
    <w:rsid w:val="006B6398"/>
    <w:rsid w:val="006E16FE"/>
    <w:rsid w:val="006E181C"/>
    <w:rsid w:val="006E7C42"/>
    <w:rsid w:val="006F3820"/>
    <w:rsid w:val="006F4696"/>
    <w:rsid w:val="006F6DA5"/>
    <w:rsid w:val="00701DA4"/>
    <w:rsid w:val="00703FA4"/>
    <w:rsid w:val="00704AC5"/>
    <w:rsid w:val="00710B87"/>
    <w:rsid w:val="00714A78"/>
    <w:rsid w:val="007157FF"/>
    <w:rsid w:val="007322A6"/>
    <w:rsid w:val="00743E7A"/>
    <w:rsid w:val="00744F3B"/>
    <w:rsid w:val="00753888"/>
    <w:rsid w:val="00753EE9"/>
    <w:rsid w:val="007564C2"/>
    <w:rsid w:val="007704D9"/>
    <w:rsid w:val="00781B78"/>
    <w:rsid w:val="00791072"/>
    <w:rsid w:val="007A4390"/>
    <w:rsid w:val="007A50B9"/>
    <w:rsid w:val="007B3501"/>
    <w:rsid w:val="007B7460"/>
    <w:rsid w:val="007C0217"/>
    <w:rsid w:val="007C29B6"/>
    <w:rsid w:val="007C57D7"/>
    <w:rsid w:val="007D0E8E"/>
    <w:rsid w:val="007D125A"/>
    <w:rsid w:val="007D7D96"/>
    <w:rsid w:val="007F4690"/>
    <w:rsid w:val="00802048"/>
    <w:rsid w:val="008079C6"/>
    <w:rsid w:val="008105FE"/>
    <w:rsid w:val="008113ED"/>
    <w:rsid w:val="0081673C"/>
    <w:rsid w:val="00817B7C"/>
    <w:rsid w:val="00826B3B"/>
    <w:rsid w:val="008341D6"/>
    <w:rsid w:val="00843D12"/>
    <w:rsid w:val="00845133"/>
    <w:rsid w:val="00846F36"/>
    <w:rsid w:val="008505A9"/>
    <w:rsid w:val="008526E9"/>
    <w:rsid w:val="00853921"/>
    <w:rsid w:val="00860CB0"/>
    <w:rsid w:val="008641F7"/>
    <w:rsid w:val="00864A20"/>
    <w:rsid w:val="00872E75"/>
    <w:rsid w:val="00895333"/>
    <w:rsid w:val="008A7C37"/>
    <w:rsid w:val="008B205D"/>
    <w:rsid w:val="008C3BB6"/>
    <w:rsid w:val="008C6ED7"/>
    <w:rsid w:val="008E3C73"/>
    <w:rsid w:val="008E4390"/>
    <w:rsid w:val="008E5E0C"/>
    <w:rsid w:val="008F46A2"/>
    <w:rsid w:val="00903356"/>
    <w:rsid w:val="0090531A"/>
    <w:rsid w:val="009077FF"/>
    <w:rsid w:val="00912D8A"/>
    <w:rsid w:val="009174D5"/>
    <w:rsid w:val="00927958"/>
    <w:rsid w:val="00931E18"/>
    <w:rsid w:val="00935B55"/>
    <w:rsid w:val="0093693B"/>
    <w:rsid w:val="009430E5"/>
    <w:rsid w:val="00944125"/>
    <w:rsid w:val="0094457F"/>
    <w:rsid w:val="00954301"/>
    <w:rsid w:val="00965418"/>
    <w:rsid w:val="00971D77"/>
    <w:rsid w:val="00973142"/>
    <w:rsid w:val="0097394A"/>
    <w:rsid w:val="00975306"/>
    <w:rsid w:val="0097696B"/>
    <w:rsid w:val="00976CF7"/>
    <w:rsid w:val="0098262F"/>
    <w:rsid w:val="00983CC7"/>
    <w:rsid w:val="00986526"/>
    <w:rsid w:val="009B0FCB"/>
    <w:rsid w:val="009B2C1A"/>
    <w:rsid w:val="009C2999"/>
    <w:rsid w:val="009C44C9"/>
    <w:rsid w:val="009D2BF2"/>
    <w:rsid w:val="009D6A87"/>
    <w:rsid w:val="009D7C98"/>
    <w:rsid w:val="009E4C51"/>
    <w:rsid w:val="009E7CFC"/>
    <w:rsid w:val="009F05C7"/>
    <w:rsid w:val="009F1B2D"/>
    <w:rsid w:val="00A05F47"/>
    <w:rsid w:val="00A07E2D"/>
    <w:rsid w:val="00A10517"/>
    <w:rsid w:val="00A160EB"/>
    <w:rsid w:val="00A1644D"/>
    <w:rsid w:val="00A24283"/>
    <w:rsid w:val="00A25CE4"/>
    <w:rsid w:val="00A31ACF"/>
    <w:rsid w:val="00A34618"/>
    <w:rsid w:val="00A347EB"/>
    <w:rsid w:val="00A414CB"/>
    <w:rsid w:val="00A45CE5"/>
    <w:rsid w:val="00A47A48"/>
    <w:rsid w:val="00A60DAF"/>
    <w:rsid w:val="00A70914"/>
    <w:rsid w:val="00A80C69"/>
    <w:rsid w:val="00A8315C"/>
    <w:rsid w:val="00A83E16"/>
    <w:rsid w:val="00A859E0"/>
    <w:rsid w:val="00A94220"/>
    <w:rsid w:val="00A95F67"/>
    <w:rsid w:val="00AA5F79"/>
    <w:rsid w:val="00AB0059"/>
    <w:rsid w:val="00AB09A1"/>
    <w:rsid w:val="00AB1097"/>
    <w:rsid w:val="00AC274D"/>
    <w:rsid w:val="00AC2DC7"/>
    <w:rsid w:val="00AD4ED9"/>
    <w:rsid w:val="00AD5FAA"/>
    <w:rsid w:val="00AE1F4E"/>
    <w:rsid w:val="00AF243F"/>
    <w:rsid w:val="00B03A39"/>
    <w:rsid w:val="00B05B81"/>
    <w:rsid w:val="00B118E4"/>
    <w:rsid w:val="00B13E85"/>
    <w:rsid w:val="00B15092"/>
    <w:rsid w:val="00B16B5E"/>
    <w:rsid w:val="00B201B2"/>
    <w:rsid w:val="00B20ADB"/>
    <w:rsid w:val="00B20E38"/>
    <w:rsid w:val="00B273A5"/>
    <w:rsid w:val="00B31432"/>
    <w:rsid w:val="00B3218B"/>
    <w:rsid w:val="00B324EE"/>
    <w:rsid w:val="00B37F20"/>
    <w:rsid w:val="00B41618"/>
    <w:rsid w:val="00B41A26"/>
    <w:rsid w:val="00B41B0F"/>
    <w:rsid w:val="00B512F9"/>
    <w:rsid w:val="00B52800"/>
    <w:rsid w:val="00B60158"/>
    <w:rsid w:val="00B650AE"/>
    <w:rsid w:val="00B80BFE"/>
    <w:rsid w:val="00B82E65"/>
    <w:rsid w:val="00B84733"/>
    <w:rsid w:val="00B85E2E"/>
    <w:rsid w:val="00B9061D"/>
    <w:rsid w:val="00B9515F"/>
    <w:rsid w:val="00BA06D9"/>
    <w:rsid w:val="00BA30AA"/>
    <w:rsid w:val="00BA5DA3"/>
    <w:rsid w:val="00BB41FD"/>
    <w:rsid w:val="00BB631A"/>
    <w:rsid w:val="00BC79B6"/>
    <w:rsid w:val="00BD7339"/>
    <w:rsid w:val="00BE5C3A"/>
    <w:rsid w:val="00BE6386"/>
    <w:rsid w:val="00BF667E"/>
    <w:rsid w:val="00C05A16"/>
    <w:rsid w:val="00C13037"/>
    <w:rsid w:val="00C15CBB"/>
    <w:rsid w:val="00C1609B"/>
    <w:rsid w:val="00C22D26"/>
    <w:rsid w:val="00C26ADD"/>
    <w:rsid w:val="00C3565A"/>
    <w:rsid w:val="00C35765"/>
    <w:rsid w:val="00C403FD"/>
    <w:rsid w:val="00C4081D"/>
    <w:rsid w:val="00C474B6"/>
    <w:rsid w:val="00C60C3D"/>
    <w:rsid w:val="00C653B5"/>
    <w:rsid w:val="00C7015A"/>
    <w:rsid w:val="00C70DE3"/>
    <w:rsid w:val="00C731F6"/>
    <w:rsid w:val="00C80B5D"/>
    <w:rsid w:val="00C8457F"/>
    <w:rsid w:val="00C84B80"/>
    <w:rsid w:val="00C85555"/>
    <w:rsid w:val="00C92E46"/>
    <w:rsid w:val="00CA03B9"/>
    <w:rsid w:val="00CA279B"/>
    <w:rsid w:val="00CB1438"/>
    <w:rsid w:val="00CB59F7"/>
    <w:rsid w:val="00CC2AD3"/>
    <w:rsid w:val="00CC7BCD"/>
    <w:rsid w:val="00CD1B27"/>
    <w:rsid w:val="00CD4624"/>
    <w:rsid w:val="00CE1BB0"/>
    <w:rsid w:val="00CE2AAE"/>
    <w:rsid w:val="00CE2EA4"/>
    <w:rsid w:val="00CE4010"/>
    <w:rsid w:val="00CE4201"/>
    <w:rsid w:val="00CE42BF"/>
    <w:rsid w:val="00CF1F23"/>
    <w:rsid w:val="00CF63B0"/>
    <w:rsid w:val="00D03049"/>
    <w:rsid w:val="00D03DAA"/>
    <w:rsid w:val="00D10872"/>
    <w:rsid w:val="00D17332"/>
    <w:rsid w:val="00D20AAC"/>
    <w:rsid w:val="00D225BC"/>
    <w:rsid w:val="00D26A86"/>
    <w:rsid w:val="00D279D6"/>
    <w:rsid w:val="00D345F4"/>
    <w:rsid w:val="00D36824"/>
    <w:rsid w:val="00D52013"/>
    <w:rsid w:val="00D52676"/>
    <w:rsid w:val="00D53F66"/>
    <w:rsid w:val="00D55C10"/>
    <w:rsid w:val="00D574D1"/>
    <w:rsid w:val="00D65504"/>
    <w:rsid w:val="00D95D0D"/>
    <w:rsid w:val="00DA05DF"/>
    <w:rsid w:val="00DA1FFD"/>
    <w:rsid w:val="00DA69A8"/>
    <w:rsid w:val="00DA78F0"/>
    <w:rsid w:val="00DB2342"/>
    <w:rsid w:val="00DC30DF"/>
    <w:rsid w:val="00DC6F40"/>
    <w:rsid w:val="00DD163C"/>
    <w:rsid w:val="00DD7D35"/>
    <w:rsid w:val="00DF04BA"/>
    <w:rsid w:val="00E077F9"/>
    <w:rsid w:val="00E10310"/>
    <w:rsid w:val="00E1486B"/>
    <w:rsid w:val="00E168B2"/>
    <w:rsid w:val="00E22B0C"/>
    <w:rsid w:val="00E262DF"/>
    <w:rsid w:val="00E26FE5"/>
    <w:rsid w:val="00E30025"/>
    <w:rsid w:val="00E300CF"/>
    <w:rsid w:val="00E316E2"/>
    <w:rsid w:val="00E34CE4"/>
    <w:rsid w:val="00E35FC6"/>
    <w:rsid w:val="00E46A79"/>
    <w:rsid w:val="00E47998"/>
    <w:rsid w:val="00E60F37"/>
    <w:rsid w:val="00E6261E"/>
    <w:rsid w:val="00E72A18"/>
    <w:rsid w:val="00E73091"/>
    <w:rsid w:val="00E76041"/>
    <w:rsid w:val="00E81192"/>
    <w:rsid w:val="00E82EE3"/>
    <w:rsid w:val="00E831CF"/>
    <w:rsid w:val="00E90EB1"/>
    <w:rsid w:val="00E94734"/>
    <w:rsid w:val="00EA1516"/>
    <w:rsid w:val="00EA2D01"/>
    <w:rsid w:val="00EA7250"/>
    <w:rsid w:val="00EB290B"/>
    <w:rsid w:val="00EC2B45"/>
    <w:rsid w:val="00EC2F75"/>
    <w:rsid w:val="00EC443F"/>
    <w:rsid w:val="00ED5C43"/>
    <w:rsid w:val="00EE2956"/>
    <w:rsid w:val="00EE6AA7"/>
    <w:rsid w:val="00EF3BAF"/>
    <w:rsid w:val="00EF4F4A"/>
    <w:rsid w:val="00EF7CD5"/>
    <w:rsid w:val="00F11266"/>
    <w:rsid w:val="00F128B5"/>
    <w:rsid w:val="00F23575"/>
    <w:rsid w:val="00F329F4"/>
    <w:rsid w:val="00F32D64"/>
    <w:rsid w:val="00F377D6"/>
    <w:rsid w:val="00F3789A"/>
    <w:rsid w:val="00F40D9C"/>
    <w:rsid w:val="00F42187"/>
    <w:rsid w:val="00F42C5E"/>
    <w:rsid w:val="00F454D9"/>
    <w:rsid w:val="00F6096D"/>
    <w:rsid w:val="00F65C08"/>
    <w:rsid w:val="00F67181"/>
    <w:rsid w:val="00F67781"/>
    <w:rsid w:val="00F80D2C"/>
    <w:rsid w:val="00F866F3"/>
    <w:rsid w:val="00F86FA9"/>
    <w:rsid w:val="00F9102F"/>
    <w:rsid w:val="00F94143"/>
    <w:rsid w:val="00FA0C80"/>
    <w:rsid w:val="00FB4009"/>
    <w:rsid w:val="00FC71E4"/>
    <w:rsid w:val="00FD0BD9"/>
    <w:rsid w:val="00FE098C"/>
    <w:rsid w:val="00FE1D4D"/>
    <w:rsid w:val="00FE738A"/>
    <w:rsid w:val="00FF13E3"/>
    <w:rsid w:val="00FF2E7F"/>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1249D775"/>
  <w15:docId w15:val="{6472F2CA-CE6A-4D46-B695-9970C816D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3">
    <w:name w:val="heading 3"/>
    <w:basedOn w:val="Normalny"/>
    <w:next w:val="Normalny"/>
    <w:link w:val="Nagwek3Znak"/>
    <w:uiPriority w:val="9"/>
    <w:semiHidden/>
    <w:unhideWhenUsed/>
    <w:qFormat/>
    <w:rsid w:val="00300DD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 w:type="paragraph" w:styleId="Lista">
    <w:name w:val="List"/>
    <w:basedOn w:val="Normalny"/>
    <w:uiPriority w:val="99"/>
    <w:semiHidden/>
    <w:unhideWhenUsed/>
    <w:rsid w:val="00B41B0F"/>
    <w:pPr>
      <w:ind w:left="283" w:hanging="283"/>
      <w:contextualSpacing/>
    </w:pPr>
  </w:style>
  <w:style w:type="character" w:customStyle="1" w:styleId="postbody">
    <w:name w:val="postbody"/>
    <w:basedOn w:val="Domylnaczcionkaakapitu"/>
    <w:rsid w:val="00B41B0F"/>
  </w:style>
  <w:style w:type="table" w:styleId="Tabela-Siatka">
    <w:name w:val="Table Grid"/>
    <w:basedOn w:val="Standardowy"/>
    <w:uiPriority w:val="59"/>
    <w:rsid w:val="008526E9"/>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300DDF"/>
    <w:rPr>
      <w:rFonts w:asciiTheme="majorHAnsi" w:eastAsiaTheme="majorEastAsia" w:hAnsiTheme="majorHAnsi" w:cstheme="majorBidi"/>
      <w:color w:val="243F60" w:themeColor="accent1" w:themeShade="7F"/>
      <w:sz w:val="24"/>
      <w:szCs w:val="24"/>
      <w:lang w:eastAsia="en-US"/>
    </w:rPr>
  </w:style>
  <w:style w:type="character" w:styleId="Pogrubienie">
    <w:name w:val="Strong"/>
    <w:basedOn w:val="Domylnaczcionkaakapitu"/>
    <w:uiPriority w:val="22"/>
    <w:qFormat/>
    <w:rsid w:val="00CA279B"/>
    <w:rPr>
      <w:b/>
      <w:bCs/>
    </w:rPr>
  </w:style>
  <w:style w:type="table" w:styleId="Siatkatabelijasna">
    <w:name w:val="Grid Table Light"/>
    <w:basedOn w:val="Standardowy"/>
    <w:uiPriority w:val="40"/>
    <w:rsid w:val="0033194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69788">
      <w:bodyDiv w:val="1"/>
      <w:marLeft w:val="0"/>
      <w:marRight w:val="0"/>
      <w:marTop w:val="0"/>
      <w:marBottom w:val="0"/>
      <w:divBdr>
        <w:top w:val="none" w:sz="0" w:space="0" w:color="auto"/>
        <w:left w:val="none" w:sz="0" w:space="0" w:color="auto"/>
        <w:bottom w:val="none" w:sz="0" w:space="0" w:color="auto"/>
        <w:right w:val="none" w:sz="0" w:space="0" w:color="auto"/>
      </w:divBdr>
    </w:div>
    <w:div w:id="15823299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06">
          <w:marLeft w:val="0"/>
          <w:marRight w:val="0"/>
          <w:marTop w:val="0"/>
          <w:marBottom w:val="180"/>
          <w:divBdr>
            <w:top w:val="none" w:sz="0" w:space="0" w:color="auto"/>
            <w:left w:val="none" w:sz="0" w:space="0" w:color="auto"/>
            <w:bottom w:val="none" w:sz="0" w:space="0" w:color="auto"/>
            <w:right w:val="none" w:sz="0" w:space="0" w:color="auto"/>
          </w:divBdr>
        </w:div>
      </w:divsChild>
    </w:div>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408701174">
      <w:bodyDiv w:val="1"/>
      <w:marLeft w:val="0"/>
      <w:marRight w:val="0"/>
      <w:marTop w:val="0"/>
      <w:marBottom w:val="0"/>
      <w:divBdr>
        <w:top w:val="none" w:sz="0" w:space="0" w:color="auto"/>
        <w:left w:val="none" w:sz="0" w:space="0" w:color="auto"/>
        <w:bottom w:val="none" w:sz="0" w:space="0" w:color="auto"/>
        <w:right w:val="none" w:sz="0" w:space="0" w:color="auto"/>
      </w:divBdr>
    </w:div>
    <w:div w:id="445662071">
      <w:bodyDiv w:val="1"/>
      <w:marLeft w:val="0"/>
      <w:marRight w:val="0"/>
      <w:marTop w:val="0"/>
      <w:marBottom w:val="0"/>
      <w:divBdr>
        <w:top w:val="none" w:sz="0" w:space="0" w:color="auto"/>
        <w:left w:val="none" w:sz="0" w:space="0" w:color="auto"/>
        <w:bottom w:val="none" w:sz="0" w:space="0" w:color="auto"/>
        <w:right w:val="none" w:sz="0" w:space="0" w:color="auto"/>
      </w:divBdr>
    </w:div>
    <w:div w:id="449015493">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897132721">
      <w:bodyDiv w:val="1"/>
      <w:marLeft w:val="0"/>
      <w:marRight w:val="0"/>
      <w:marTop w:val="0"/>
      <w:marBottom w:val="0"/>
      <w:divBdr>
        <w:top w:val="none" w:sz="0" w:space="0" w:color="auto"/>
        <w:left w:val="none" w:sz="0" w:space="0" w:color="auto"/>
        <w:bottom w:val="none" w:sz="0" w:space="0" w:color="auto"/>
        <w:right w:val="none" w:sz="0" w:space="0" w:color="auto"/>
      </w:divBdr>
      <w:divsChild>
        <w:div w:id="96677521">
          <w:marLeft w:val="0"/>
          <w:marRight w:val="0"/>
          <w:marTop w:val="0"/>
          <w:marBottom w:val="180"/>
          <w:divBdr>
            <w:top w:val="none" w:sz="0" w:space="0" w:color="auto"/>
            <w:left w:val="none" w:sz="0" w:space="0" w:color="auto"/>
            <w:bottom w:val="none" w:sz="0" w:space="0" w:color="auto"/>
            <w:right w:val="none" w:sz="0" w:space="0" w:color="auto"/>
          </w:divBdr>
        </w:div>
      </w:divsChild>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 w:id="1874150875">
      <w:bodyDiv w:val="1"/>
      <w:marLeft w:val="0"/>
      <w:marRight w:val="0"/>
      <w:marTop w:val="0"/>
      <w:marBottom w:val="0"/>
      <w:divBdr>
        <w:top w:val="none" w:sz="0" w:space="0" w:color="auto"/>
        <w:left w:val="none" w:sz="0" w:space="0" w:color="auto"/>
        <w:bottom w:val="none" w:sz="0" w:space="0" w:color="auto"/>
        <w:right w:val="none" w:sz="0" w:space="0" w:color="auto"/>
      </w:divBdr>
    </w:div>
    <w:div w:id="211578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4E825-611B-4623-AAD4-770D8236D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19</Pages>
  <Words>6371</Words>
  <Characters>38229</Characters>
  <Application>Microsoft Office Word</Application>
  <DocSecurity>0</DocSecurity>
  <Lines>318</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46</cp:revision>
  <cp:lastPrinted>2012-02-27T14:04:00Z</cp:lastPrinted>
  <dcterms:created xsi:type="dcterms:W3CDTF">2012-08-21T19:34:00Z</dcterms:created>
  <dcterms:modified xsi:type="dcterms:W3CDTF">2025-12-07T19:30:00Z</dcterms:modified>
</cp:coreProperties>
</file>